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F5302FD" w14:textId="67E5326A" w:rsidR="00420A38" w:rsidRPr="007A395D" w:rsidRDefault="00420A38" w:rsidP="000049D8">
      <w:pPr>
        <w:pStyle w:val="Header"/>
        <w:tabs>
          <w:tab w:val="clear" w:pos="9639"/>
          <w:tab w:val="right" w:pos="5954"/>
        </w:tabs>
        <w:spacing w:after="240"/>
        <w:jc w:val="right"/>
        <w:rPr>
          <w:rFonts w:ascii="Calibri" w:hAnsi="Calibri"/>
        </w:rPr>
      </w:pPr>
      <w:r w:rsidRPr="007A395D">
        <w:rPr>
          <w:rFonts w:ascii="Calibri" w:hAnsi="Calibri"/>
        </w:rPr>
        <w:t>Input paper</w:t>
      </w:r>
      <w:r w:rsidR="00037DF4" w:rsidRPr="007A395D">
        <w:rPr>
          <w:rFonts w:ascii="Calibri" w:hAnsi="Calibri"/>
        </w:rPr>
        <w:t xml:space="preserve">: </w:t>
      </w:r>
      <w:r w:rsidRPr="007A395D">
        <w:rPr>
          <w:rStyle w:val="FootnoteReference"/>
          <w:rFonts w:ascii="Calibri" w:hAnsi="Calibri"/>
          <w:sz w:val="22"/>
          <w:vertAlign w:val="superscript"/>
        </w:rPr>
        <w:footnoteReference w:id="1"/>
      </w:r>
      <w:r w:rsidR="000049D8" w:rsidRPr="007A395D">
        <w:rPr>
          <w:rFonts w:ascii="Calibri" w:hAnsi="Calibri"/>
        </w:rPr>
        <w:t xml:space="preserve">  </w:t>
      </w:r>
      <w:r w:rsidR="00817013">
        <w:rPr>
          <w:rFonts w:ascii="Calibri" w:hAnsi="Calibri"/>
        </w:rPr>
        <w:t>ENAV20</w:t>
      </w:r>
      <w:r w:rsidR="00D131C5">
        <w:rPr>
          <w:rFonts w:ascii="Calibri" w:hAnsi="Calibri"/>
        </w:rPr>
        <w:t>-13.15</w:t>
      </w:r>
    </w:p>
    <w:p w14:paraId="5A14DE03" w14:textId="77777777" w:rsidR="00BF32F0" w:rsidRPr="007A395D" w:rsidRDefault="00BF32F0" w:rsidP="00F36489">
      <w:pPr>
        <w:pStyle w:val="BodyText"/>
      </w:pPr>
    </w:p>
    <w:p w14:paraId="22E94D0E" w14:textId="77777777" w:rsidR="00D019CE" w:rsidRPr="007A395D" w:rsidRDefault="00D019CE" w:rsidP="00F36489">
      <w:pPr>
        <w:pStyle w:val="BodyText"/>
      </w:pPr>
    </w:p>
    <w:p w14:paraId="370CFB53" w14:textId="0056C39C" w:rsidR="0080294B" w:rsidRPr="007A395D" w:rsidRDefault="00E558C3" w:rsidP="00F36489">
      <w:pPr>
        <w:pStyle w:val="BodyText"/>
      </w:pPr>
      <w:r w:rsidRPr="007A395D">
        <w:t xml:space="preserve">Input paper for the following Committee(s): </w:t>
      </w:r>
      <w:r w:rsidRPr="007A395D">
        <w:tab/>
      </w:r>
      <w:r w:rsidRPr="007A395D">
        <w:rPr>
          <w:sz w:val="18"/>
          <w:szCs w:val="18"/>
        </w:rPr>
        <w:t>check as appropriate</w:t>
      </w:r>
      <w:r w:rsidRPr="007A395D">
        <w:rPr>
          <w:sz w:val="18"/>
          <w:szCs w:val="18"/>
        </w:rPr>
        <w:tab/>
      </w:r>
      <w:r w:rsidRPr="007A395D">
        <w:tab/>
        <w:t>Purpose of paper:</w:t>
      </w:r>
    </w:p>
    <w:p w14:paraId="78786733" w14:textId="4B7A4CC5" w:rsidR="0080294B" w:rsidRPr="007A395D" w:rsidRDefault="0080294B" w:rsidP="00F36489">
      <w:pPr>
        <w:pStyle w:val="BodyText"/>
        <w:rPr>
          <w:b/>
        </w:rPr>
      </w:pPr>
      <w:r w:rsidRPr="007A395D">
        <w:rPr>
          <w:b/>
        </w:rPr>
        <w:t>□</w:t>
      </w:r>
      <w:r w:rsidRPr="007A395D">
        <w:t xml:space="preserve">  ARM</w:t>
      </w:r>
      <w:r w:rsidR="00037DF4" w:rsidRPr="007A395D">
        <w:tab/>
      </w:r>
      <w:r w:rsidR="00817013">
        <w:tab/>
      </w:r>
      <w:r w:rsidRPr="007A395D">
        <w:rPr>
          <w:b/>
        </w:rPr>
        <w:t>□</w:t>
      </w:r>
      <w:r w:rsidRPr="007A395D">
        <w:t xml:space="preserve">  ENG</w:t>
      </w:r>
      <w:r w:rsidRPr="007A395D">
        <w:tab/>
      </w:r>
      <w:r w:rsidRPr="007A395D">
        <w:tab/>
      </w:r>
      <w:r w:rsidRPr="007A395D">
        <w:rPr>
          <w:b/>
        </w:rPr>
        <w:t>□</w:t>
      </w:r>
      <w:r w:rsidRPr="007A395D">
        <w:t xml:space="preserve">  PAP</w:t>
      </w:r>
      <w:r w:rsidRPr="007A395D">
        <w:tab/>
      </w:r>
      <w:r w:rsidRPr="007A395D">
        <w:tab/>
      </w:r>
      <w:r w:rsidR="00037DF4" w:rsidRPr="007A395D">
        <w:tab/>
      </w:r>
      <w:r w:rsidR="00037DF4" w:rsidRPr="007A395D">
        <w:tab/>
      </w:r>
      <w:r w:rsidR="00037DF4" w:rsidRPr="007A395D">
        <w:tab/>
      </w:r>
      <w:r w:rsidR="00817013">
        <w:tab/>
      </w:r>
      <w:r w:rsidR="00DE3D8A" w:rsidRPr="007A395D">
        <w:rPr>
          <w:b/>
        </w:rPr>
        <w:t>□</w:t>
      </w:r>
      <w:r w:rsidRPr="007A395D">
        <w:t xml:space="preserve">  Input</w:t>
      </w:r>
    </w:p>
    <w:p w14:paraId="0BC79547" w14:textId="428034E7" w:rsidR="0080294B" w:rsidRPr="007A395D" w:rsidRDefault="00DE3D8A" w:rsidP="00F36489">
      <w:pPr>
        <w:pStyle w:val="BodyText"/>
      </w:pPr>
      <w:r>
        <w:rPr>
          <w:b/>
        </w:rPr>
        <w:sym w:font="Wingdings" w:char="F078"/>
      </w:r>
      <w:r w:rsidR="0080294B" w:rsidRPr="007A395D">
        <w:t xml:space="preserve">  ENAV</w:t>
      </w:r>
      <w:r w:rsidR="0080294B" w:rsidRPr="007A395D">
        <w:rPr>
          <w:b/>
        </w:rPr>
        <w:tab/>
        <w:t>□</w:t>
      </w:r>
      <w:r w:rsidR="0080294B" w:rsidRPr="007A395D">
        <w:t xml:space="preserve">  </w:t>
      </w:r>
      <w:r w:rsidR="003D2DC1" w:rsidRPr="007A395D">
        <w:t>VTS</w:t>
      </w:r>
      <w:r w:rsidR="0080294B" w:rsidRPr="007A395D">
        <w:tab/>
      </w:r>
      <w:r w:rsidR="0080294B" w:rsidRPr="007A395D">
        <w:tab/>
      </w:r>
      <w:r w:rsidR="0080294B" w:rsidRPr="007A395D">
        <w:tab/>
      </w:r>
      <w:r w:rsidR="0080294B" w:rsidRPr="007A395D">
        <w:tab/>
      </w:r>
      <w:r w:rsidR="0080294B" w:rsidRPr="007A395D">
        <w:tab/>
      </w:r>
      <w:r w:rsidR="00037DF4" w:rsidRPr="007A395D">
        <w:tab/>
      </w:r>
      <w:r w:rsidR="00037DF4" w:rsidRPr="007A395D">
        <w:tab/>
      </w:r>
      <w:r w:rsidR="00817013">
        <w:tab/>
      </w:r>
      <w:r>
        <w:rPr>
          <w:b/>
        </w:rPr>
        <w:sym w:font="Wingdings" w:char="F078"/>
      </w:r>
      <w:r w:rsidR="0080294B" w:rsidRPr="007A395D">
        <w:t xml:space="preserve"> Information</w:t>
      </w:r>
    </w:p>
    <w:p w14:paraId="3E1C02C4" w14:textId="77777777" w:rsidR="0080294B" w:rsidRPr="007A395D" w:rsidRDefault="0080294B" w:rsidP="00F36489">
      <w:pPr>
        <w:pStyle w:val="BodyText"/>
      </w:pPr>
    </w:p>
    <w:p w14:paraId="4DD25FD9" w14:textId="50FA22DD" w:rsidR="00A446C9" w:rsidRPr="007A395D" w:rsidRDefault="00A446C9" w:rsidP="00F36489">
      <w:pPr>
        <w:pStyle w:val="BodyText"/>
      </w:pPr>
      <w:r w:rsidRPr="007A395D">
        <w:t>Agenda item</w:t>
      </w:r>
      <w:r w:rsidR="00037DF4" w:rsidRPr="007A395D">
        <w:t xml:space="preserve"> </w:t>
      </w:r>
      <w:r w:rsidR="00037DF4" w:rsidRPr="007A395D">
        <w:rPr>
          <w:rStyle w:val="FootnoteReference"/>
          <w:rFonts w:ascii="Calibri" w:hAnsi="Calibri"/>
          <w:sz w:val="22"/>
          <w:vertAlign w:val="superscript"/>
        </w:rPr>
        <w:footnoteReference w:id="2"/>
      </w:r>
      <w:r w:rsidR="001C44A3" w:rsidRPr="007A395D">
        <w:tab/>
      </w:r>
      <w:r w:rsidR="0080294B" w:rsidRPr="007A395D">
        <w:tab/>
      </w:r>
      <w:r w:rsidR="0080294B" w:rsidRPr="007A395D">
        <w:tab/>
      </w:r>
      <w:r w:rsidR="000C1160">
        <w:tab/>
      </w:r>
      <w:r w:rsidR="00D131C5">
        <w:t>13</w:t>
      </w:r>
      <w:bookmarkStart w:id="0" w:name="_GoBack"/>
      <w:bookmarkEnd w:id="0"/>
    </w:p>
    <w:p w14:paraId="1AB3E246" w14:textId="6BDE76DC" w:rsidR="00A446C9" w:rsidRPr="007A395D" w:rsidRDefault="0080294B" w:rsidP="00F36489">
      <w:pPr>
        <w:pStyle w:val="BodyText"/>
      </w:pPr>
      <w:r w:rsidRPr="007A395D">
        <w:t xml:space="preserve">Technical Domain / </w:t>
      </w:r>
      <w:r w:rsidR="00A446C9" w:rsidRPr="007A395D">
        <w:t>Task Number</w:t>
      </w:r>
      <w:r w:rsidR="00037DF4" w:rsidRPr="007A395D">
        <w:t xml:space="preserve"> </w:t>
      </w:r>
      <w:r w:rsidR="00037DF4" w:rsidRPr="007A395D">
        <w:rPr>
          <w:vertAlign w:val="superscript"/>
        </w:rPr>
        <w:t>2</w:t>
      </w:r>
      <w:r w:rsidR="001C44A3" w:rsidRPr="007A395D">
        <w:tab/>
      </w:r>
      <w:r w:rsidRPr="007A395D">
        <w:t>…………………………………</w:t>
      </w:r>
    </w:p>
    <w:p w14:paraId="01FC5420" w14:textId="60AB0963" w:rsidR="00362CD9" w:rsidRPr="007A395D" w:rsidRDefault="00362CD9" w:rsidP="00B82BBC">
      <w:pPr>
        <w:pStyle w:val="BodyText"/>
        <w:ind w:left="3600" w:hanging="3600"/>
        <w:rPr>
          <w:color w:val="FF0000"/>
        </w:rPr>
      </w:pPr>
      <w:r w:rsidRPr="007A395D">
        <w:t>Author(s)</w:t>
      </w:r>
      <w:r w:rsidR="00FE5674" w:rsidRPr="007A395D">
        <w:t xml:space="preserve"> / Submitter(s)</w:t>
      </w:r>
      <w:r w:rsidRPr="007A395D">
        <w:tab/>
      </w:r>
      <w:r w:rsidR="00256198" w:rsidRPr="00FB098F">
        <w:rPr>
          <w:lang w:val="en-US"/>
        </w:rPr>
        <w:t xml:space="preserve">Manuel López (GSA), </w:t>
      </w:r>
      <w:r w:rsidR="00140F47" w:rsidRPr="00140F47">
        <w:t>Elisabet Lacarra (ESSP), Virginia Antón (ESSP)</w:t>
      </w:r>
      <w:r w:rsidR="004B3BEE">
        <w:t>, Pedro Gómez (ESSP)</w:t>
      </w:r>
    </w:p>
    <w:p w14:paraId="60BCC120" w14:textId="77777777" w:rsidR="0080294B" w:rsidRPr="007A395D" w:rsidRDefault="0080294B" w:rsidP="00F36489">
      <w:pPr>
        <w:pStyle w:val="BodyText"/>
      </w:pPr>
    </w:p>
    <w:p w14:paraId="4834080C" w14:textId="1C94139A" w:rsidR="00A446C9" w:rsidRPr="00166076" w:rsidRDefault="00242489" w:rsidP="00F36489">
      <w:pPr>
        <w:pStyle w:val="Title"/>
        <w:rPr>
          <w:rFonts w:ascii="Calibri" w:hAnsi="Calibri"/>
          <w:color w:val="0070C0"/>
        </w:rPr>
      </w:pPr>
      <w:r>
        <w:t xml:space="preserve"> </w:t>
      </w:r>
      <w:r w:rsidRPr="00166076">
        <w:rPr>
          <w:rFonts w:ascii="Calibri" w:hAnsi="Calibri"/>
          <w:color w:val="0070C0"/>
        </w:rPr>
        <w:t xml:space="preserve">EGNOS </w:t>
      </w:r>
      <w:r w:rsidR="00DE3D8A" w:rsidRPr="00166076">
        <w:rPr>
          <w:rFonts w:ascii="Calibri" w:hAnsi="Calibri"/>
          <w:color w:val="0070C0"/>
        </w:rPr>
        <w:t xml:space="preserve">for Off-Shore </w:t>
      </w:r>
      <w:r w:rsidR="00964888" w:rsidRPr="00166076">
        <w:rPr>
          <w:rFonts w:ascii="Calibri" w:hAnsi="Calibri"/>
          <w:color w:val="0070C0"/>
        </w:rPr>
        <w:t xml:space="preserve">Oil &amp; Gas </w:t>
      </w:r>
      <w:r w:rsidR="00DE3D8A" w:rsidRPr="00166076">
        <w:rPr>
          <w:rFonts w:ascii="Calibri" w:hAnsi="Calibri"/>
          <w:color w:val="0070C0"/>
        </w:rPr>
        <w:t>Operations</w:t>
      </w:r>
    </w:p>
    <w:p w14:paraId="0F258596" w14:textId="50FB6E37" w:rsidR="00A446C9" w:rsidRPr="00605E43" w:rsidRDefault="00A446C9" w:rsidP="00605E43">
      <w:pPr>
        <w:pStyle w:val="Heading1"/>
      </w:pPr>
      <w:r w:rsidRPr="00605E43">
        <w:t>Summary</w:t>
      </w:r>
    </w:p>
    <w:p w14:paraId="0BB55115" w14:textId="35A0B6F6" w:rsidR="00081E17" w:rsidRDefault="00081E17" w:rsidP="00081E17">
      <w:pPr>
        <w:pStyle w:val="BodyText"/>
      </w:pPr>
      <w:r w:rsidRPr="00081E17">
        <w:t>In view of the market situation, and the E</w:t>
      </w:r>
      <w:r w:rsidR="004B3BEE">
        <w:t>GNOS</w:t>
      </w:r>
      <w:r w:rsidRPr="00081E17">
        <w:t xml:space="preserve"> features in comparison with other positioning techniques/services used in the </w:t>
      </w:r>
      <w:r w:rsidR="0089437E">
        <w:t xml:space="preserve">off-shore </w:t>
      </w:r>
      <w:r w:rsidRPr="00081E17">
        <w:t>Oil &amp; Gas sector, the present document aims at identifying the opportunities for E</w:t>
      </w:r>
      <w:r w:rsidR="004B3BEE">
        <w:t>GNOS</w:t>
      </w:r>
      <w:r w:rsidRPr="00081E17">
        <w:t xml:space="preserve"> introduction and the potential associated benefits.</w:t>
      </w:r>
    </w:p>
    <w:p w14:paraId="3C575A26" w14:textId="77777777" w:rsidR="001C44A3" w:rsidRPr="00605E43" w:rsidRDefault="00BD4E6F" w:rsidP="00605E43">
      <w:pPr>
        <w:pStyle w:val="Heading2"/>
      </w:pPr>
      <w:r w:rsidRPr="00605E43">
        <w:t>Purpose</w:t>
      </w:r>
      <w:r w:rsidR="004D1D85" w:rsidRPr="00605E43">
        <w:t xml:space="preserve"> of the document</w:t>
      </w:r>
    </w:p>
    <w:p w14:paraId="73C91BE9" w14:textId="08162F6E" w:rsidR="004A4557" w:rsidRPr="007A395D" w:rsidRDefault="00E72F8E" w:rsidP="004B3BEE">
      <w:pPr>
        <w:pStyle w:val="BodyText"/>
      </w:pPr>
      <w:r>
        <w:t xml:space="preserve">This is an information paper </w:t>
      </w:r>
      <w:r w:rsidR="00EC7686">
        <w:t xml:space="preserve">whose </w:t>
      </w:r>
      <w:r w:rsidR="00EC7B12">
        <w:t>purpose is to pr</w:t>
      </w:r>
      <w:r w:rsidR="00EC7B12" w:rsidRPr="003E28C2">
        <w:t>ovide</w:t>
      </w:r>
      <w:r w:rsidR="002164C8">
        <w:t xml:space="preserve"> an overview on </w:t>
      </w:r>
      <w:r w:rsidR="00EC7686">
        <w:t xml:space="preserve">the use of </w:t>
      </w:r>
      <w:r w:rsidR="002164C8" w:rsidRPr="00EC7B12">
        <w:t>E</w:t>
      </w:r>
      <w:r w:rsidR="004B3BEE">
        <w:t>GNOS</w:t>
      </w:r>
      <w:r w:rsidR="002164C8" w:rsidRPr="00EC7B12">
        <w:t xml:space="preserve"> for Off-Shore Oil &amp; Gas operations</w:t>
      </w:r>
      <w:r w:rsidR="002164C8">
        <w:t xml:space="preserve"> in Europe; a market segment with promising </w:t>
      </w:r>
      <w:r w:rsidR="00311C77">
        <w:t xml:space="preserve">opportunities </w:t>
      </w:r>
      <w:r w:rsidR="002164C8">
        <w:t>for the utilisation and adoption of E</w:t>
      </w:r>
      <w:r w:rsidR="004B3BEE">
        <w:t>GNOS</w:t>
      </w:r>
      <w:r w:rsidR="002164C8">
        <w:t xml:space="preserve">. </w:t>
      </w:r>
      <w:r w:rsidR="004A4557">
        <w:t xml:space="preserve">Committee members </w:t>
      </w:r>
      <w:r w:rsidR="004B3BEE">
        <w:t xml:space="preserve">may be interested in the opportunities and potential use of EGNOS in </w:t>
      </w:r>
      <w:r w:rsidR="002717B4">
        <w:t>a</w:t>
      </w:r>
      <w:r w:rsidR="004B3BEE">
        <w:t xml:space="preserve"> specific market segment within the off-shore Oil &amp; Gas industry and </w:t>
      </w:r>
      <w:r w:rsidR="004A4557">
        <w:t>are invited to provide comments</w:t>
      </w:r>
      <w:r w:rsidR="004B3BEE">
        <w:t>.</w:t>
      </w:r>
    </w:p>
    <w:p w14:paraId="53733F03" w14:textId="77777777" w:rsidR="00A446C9" w:rsidRPr="007A395D" w:rsidRDefault="00A446C9" w:rsidP="00605E43">
      <w:pPr>
        <w:pStyle w:val="Heading1"/>
      </w:pPr>
      <w:r w:rsidRPr="007A395D">
        <w:t>Background</w:t>
      </w:r>
    </w:p>
    <w:p w14:paraId="055387F4" w14:textId="268F26E6" w:rsidR="007A3336" w:rsidRDefault="008C5230" w:rsidP="00F36489">
      <w:pPr>
        <w:pStyle w:val="BodyText"/>
        <w:rPr>
          <w:lang w:val="en-US"/>
        </w:rPr>
      </w:pPr>
      <w:r>
        <w:rPr>
          <w:lang w:val="en-US"/>
        </w:rPr>
        <w:t>Off-shore</w:t>
      </w:r>
      <w:r w:rsidR="000E6F0D">
        <w:rPr>
          <w:lang w:val="en-US"/>
        </w:rPr>
        <w:t xml:space="preserve"> marine</w:t>
      </w:r>
      <w:r w:rsidR="007A3336" w:rsidRPr="007A3336">
        <w:rPr>
          <w:lang w:val="en-US"/>
        </w:rPr>
        <w:t xml:space="preserve"> operations refer to all those activities which are performed in oceanic waters, </w:t>
      </w:r>
      <w:r w:rsidR="0040678A">
        <w:rPr>
          <w:lang w:val="en-US"/>
        </w:rPr>
        <w:t>beyond the coastline</w:t>
      </w:r>
      <w:r>
        <w:rPr>
          <w:lang w:val="en-US"/>
        </w:rPr>
        <w:t>.</w:t>
      </w:r>
      <w:r w:rsidR="00AF1DA7">
        <w:rPr>
          <w:lang w:val="en-US"/>
        </w:rPr>
        <w:t xml:space="preserve"> O</w:t>
      </w:r>
      <w:r>
        <w:rPr>
          <w:lang w:val="en-US"/>
        </w:rPr>
        <w:t>ff-s</w:t>
      </w:r>
      <w:r w:rsidR="007A3336" w:rsidRPr="007A3336">
        <w:rPr>
          <w:lang w:val="en-US"/>
        </w:rPr>
        <w:t xml:space="preserve">hore operations are in many cases associated to the </w:t>
      </w:r>
      <w:r w:rsidR="002164C8">
        <w:rPr>
          <w:lang w:val="en-US"/>
        </w:rPr>
        <w:t>O</w:t>
      </w:r>
      <w:r w:rsidR="007A3336" w:rsidRPr="007A3336">
        <w:rPr>
          <w:lang w:val="en-US"/>
        </w:rPr>
        <w:t xml:space="preserve">il &amp; </w:t>
      </w:r>
      <w:r w:rsidR="002164C8">
        <w:rPr>
          <w:lang w:val="en-US"/>
        </w:rPr>
        <w:t>G</w:t>
      </w:r>
      <w:r w:rsidR="007A3336" w:rsidRPr="007A3336">
        <w:rPr>
          <w:lang w:val="en-US"/>
        </w:rPr>
        <w:t>as industry</w:t>
      </w:r>
      <w:r w:rsidR="002164C8">
        <w:rPr>
          <w:lang w:val="en-US"/>
        </w:rPr>
        <w:t>. In the context of GNSS, the Oil &amp; G</w:t>
      </w:r>
      <w:r w:rsidR="007A3336" w:rsidRPr="007A3336">
        <w:rPr>
          <w:lang w:val="en-US"/>
        </w:rPr>
        <w:t>as industry is also of interest, being one of the main users of private and public GNSS systems for the daily operations which require global coverage and high accuracy in order to avoid accidents/incidents. In this domain, avoiding accidents/incidents is especially critical due to their major economic and environmental impact.</w:t>
      </w:r>
    </w:p>
    <w:p w14:paraId="60713076" w14:textId="0D27A39E" w:rsidR="00AF4FAD" w:rsidRPr="00AF4FAD" w:rsidRDefault="00E43128" w:rsidP="00AF4FAD">
      <w:pPr>
        <w:pStyle w:val="BodyText"/>
      </w:pPr>
      <w:r>
        <w:t>EGNOS</w:t>
      </w:r>
      <w:r w:rsidR="003818FA">
        <w:t xml:space="preserve"> is the European satellite based augmentation system (SBAS) which</w:t>
      </w:r>
      <w:r>
        <w:t xml:space="preserve"> is</w:t>
      </w:r>
      <w:r w:rsidR="00AF4FAD">
        <w:t xml:space="preserve"> to be used in combination with GPS, increasing the pe</w:t>
      </w:r>
      <w:r w:rsidR="00B82BBC">
        <w:t xml:space="preserve">rformance in terms of accuracy </w:t>
      </w:r>
      <w:r w:rsidR="00AF4FAD">
        <w:t>and integrity. The use of E</w:t>
      </w:r>
      <w:r>
        <w:t>GNOS</w:t>
      </w:r>
      <w:r w:rsidR="00AF4FAD">
        <w:t xml:space="preserve"> is being promoted </w:t>
      </w:r>
      <w:r w:rsidR="00F76EC5">
        <w:t xml:space="preserve">to </w:t>
      </w:r>
      <w:r w:rsidR="00AF4FAD">
        <w:t>user communities who may need an added value due to the nature of their operations. Every sector where underperformance can derive in legal or economic consequences can take benefit of EGN</w:t>
      </w:r>
      <w:r>
        <w:t>O</w:t>
      </w:r>
      <w:r w:rsidR="00AF4FAD">
        <w:t>S: Maritime</w:t>
      </w:r>
      <w:r w:rsidR="000333C0">
        <w:t xml:space="preserve"> transport</w:t>
      </w:r>
      <w:r w:rsidR="00AF4FAD">
        <w:t>, Off-shore</w:t>
      </w:r>
      <w:r w:rsidR="000333C0">
        <w:t xml:space="preserve"> operations</w:t>
      </w:r>
      <w:r w:rsidR="00AF4FAD">
        <w:t xml:space="preserve">, </w:t>
      </w:r>
      <w:r w:rsidR="000333C0">
        <w:t xml:space="preserve">Logistics, </w:t>
      </w:r>
      <w:r w:rsidR="00AF4FAD">
        <w:t>etc.</w:t>
      </w:r>
    </w:p>
    <w:p w14:paraId="5186705C" w14:textId="77777777" w:rsidR="00AF4FAD" w:rsidRDefault="00AF4FAD" w:rsidP="00F36489">
      <w:pPr>
        <w:pStyle w:val="BodyText"/>
        <w:rPr>
          <w:lang w:val="en-US"/>
        </w:rPr>
      </w:pPr>
    </w:p>
    <w:p w14:paraId="7FA372B0" w14:textId="77777777" w:rsidR="00964888" w:rsidRPr="007A395D" w:rsidRDefault="00964888" w:rsidP="00964888">
      <w:pPr>
        <w:pStyle w:val="Heading1"/>
      </w:pPr>
      <w:r w:rsidRPr="007A395D">
        <w:lastRenderedPageBreak/>
        <w:t>References</w:t>
      </w:r>
    </w:p>
    <w:p w14:paraId="46B2AAD7" w14:textId="77777777" w:rsidR="004B4CD9" w:rsidRDefault="004B4CD9" w:rsidP="004B4CD9">
      <w:pPr>
        <w:pStyle w:val="References"/>
        <w:rPr>
          <w:lang w:eastAsia="de-DE"/>
        </w:rPr>
      </w:pPr>
      <w:bookmarkStart w:id="1" w:name="_Ref474830377"/>
      <w:bookmarkStart w:id="2" w:name="_Ref474830201"/>
      <w:r w:rsidRPr="004B4CD9">
        <w:rPr>
          <w:lang w:eastAsia="de-DE"/>
        </w:rPr>
        <w:t>IALA Guideline 1112 on Performance and Monitoring of DGNSS Services in the frequency band 283.5 – 325 kHz – Edition 1 – May 2015</w:t>
      </w:r>
      <w:bookmarkEnd w:id="1"/>
    </w:p>
    <w:p w14:paraId="3E24DB2C" w14:textId="4F50C781" w:rsidR="00964888" w:rsidRPr="000C44DC" w:rsidRDefault="000C44DC" w:rsidP="004B4CD9">
      <w:pPr>
        <w:pStyle w:val="References"/>
        <w:rPr>
          <w:lang w:eastAsia="de-DE"/>
        </w:rPr>
      </w:pPr>
      <w:bookmarkStart w:id="3" w:name="_Ref474830356"/>
      <w:r w:rsidRPr="000C44DC">
        <w:t>OGP / IMCA Guidelines for GNSS Positioning within the Oil and Gas Industry. Report No. 373-19. June 2011</w:t>
      </w:r>
      <w:bookmarkEnd w:id="2"/>
      <w:bookmarkEnd w:id="3"/>
    </w:p>
    <w:p w14:paraId="1DDEA423" w14:textId="58F218BC" w:rsidR="000C44DC" w:rsidRDefault="00B95CAB" w:rsidP="00B95CAB">
      <w:pPr>
        <w:pStyle w:val="References"/>
        <w:rPr>
          <w:lang w:eastAsia="de-DE"/>
        </w:rPr>
      </w:pPr>
      <w:bookmarkStart w:id="4" w:name="_Ref474848198"/>
      <w:r w:rsidRPr="00B95CAB">
        <w:rPr>
          <w:lang w:eastAsia="de-DE"/>
        </w:rPr>
        <w:t>IMO Resolution A.915(22) Revised maritime policy and requirements for a future GNSS</w:t>
      </w:r>
      <w:bookmarkEnd w:id="4"/>
    </w:p>
    <w:p w14:paraId="799A2335" w14:textId="4CFC1B0C" w:rsidR="009C7332" w:rsidRPr="000C44DC" w:rsidRDefault="009C7332" w:rsidP="009C7332">
      <w:pPr>
        <w:pStyle w:val="References"/>
        <w:rPr>
          <w:lang w:eastAsia="de-DE"/>
        </w:rPr>
      </w:pPr>
      <w:bookmarkStart w:id="5" w:name="_Ref474923604"/>
      <w:r w:rsidRPr="009C7332">
        <w:rPr>
          <w:lang w:eastAsia="de-DE"/>
        </w:rPr>
        <w:t>Introduction to Offshore Support Vessels. By Andy Yeo and Magne Motzfeld, Pareto Securities Asia.</w:t>
      </w:r>
      <w:bookmarkEnd w:id="5"/>
    </w:p>
    <w:p w14:paraId="26F8F9DB" w14:textId="77777777" w:rsidR="00964888" w:rsidRPr="007A395D" w:rsidRDefault="00964888" w:rsidP="00964888">
      <w:pPr>
        <w:pStyle w:val="Heading1"/>
      </w:pPr>
      <w:r w:rsidRPr="007A395D">
        <w:t>Action requested of the Committee</w:t>
      </w:r>
    </w:p>
    <w:p w14:paraId="05F2CBBC" w14:textId="7DA2CECE" w:rsidR="00964888" w:rsidRPr="00964888" w:rsidRDefault="00964888" w:rsidP="00F36489">
      <w:pPr>
        <w:pStyle w:val="BodyText"/>
      </w:pPr>
      <w:r w:rsidRPr="00964888">
        <w:t>The Committee is invited to consider the information provided in the Annex.</w:t>
      </w:r>
    </w:p>
    <w:p w14:paraId="4E7EAF1B" w14:textId="77777777" w:rsidR="00964888" w:rsidRDefault="00964888" w:rsidP="00F36489">
      <w:pPr>
        <w:pStyle w:val="BodyText"/>
        <w:rPr>
          <w:lang w:val="en-US"/>
        </w:rPr>
      </w:pPr>
    </w:p>
    <w:p w14:paraId="6D108768" w14:textId="77777777" w:rsidR="00964888" w:rsidRDefault="00964888" w:rsidP="00F36489">
      <w:pPr>
        <w:pStyle w:val="BodyText"/>
        <w:rPr>
          <w:lang w:val="en-US"/>
        </w:rPr>
      </w:pPr>
    </w:p>
    <w:p w14:paraId="2E279080" w14:textId="77777777" w:rsidR="00964888" w:rsidRDefault="00964888" w:rsidP="00F36489">
      <w:pPr>
        <w:pStyle w:val="BodyText"/>
        <w:rPr>
          <w:lang w:val="en-US"/>
        </w:rPr>
      </w:pPr>
    </w:p>
    <w:p w14:paraId="3EDF51BF" w14:textId="77777777" w:rsidR="00964888" w:rsidRDefault="00964888" w:rsidP="00F36489">
      <w:pPr>
        <w:pStyle w:val="BodyText"/>
        <w:rPr>
          <w:lang w:val="en-US"/>
        </w:rPr>
      </w:pPr>
    </w:p>
    <w:p w14:paraId="184FDEA9" w14:textId="77777777" w:rsidR="00964888" w:rsidRDefault="00964888" w:rsidP="00F36489">
      <w:pPr>
        <w:pStyle w:val="BodyText"/>
        <w:rPr>
          <w:lang w:val="en-US"/>
        </w:rPr>
      </w:pPr>
    </w:p>
    <w:p w14:paraId="4B1DBDCE" w14:textId="77777777" w:rsidR="00964888" w:rsidRDefault="00964888" w:rsidP="00F36489">
      <w:pPr>
        <w:pStyle w:val="BodyText"/>
        <w:rPr>
          <w:lang w:val="en-US"/>
        </w:rPr>
      </w:pPr>
    </w:p>
    <w:p w14:paraId="4F075B75" w14:textId="77777777" w:rsidR="00964888" w:rsidRPr="007A3336" w:rsidRDefault="00964888" w:rsidP="00F36489">
      <w:pPr>
        <w:pStyle w:val="BodyText"/>
        <w:rPr>
          <w:lang w:val="en-US"/>
        </w:rPr>
      </w:pPr>
    </w:p>
    <w:p w14:paraId="5E201BEE" w14:textId="77777777" w:rsidR="004D1D85" w:rsidRPr="007A395D" w:rsidRDefault="004D1D85" w:rsidP="00F36489">
      <w:pPr>
        <w:pStyle w:val="List1"/>
        <w:numPr>
          <w:ilvl w:val="0"/>
          <w:numId w:val="0"/>
        </w:numPr>
        <w:ind w:left="567"/>
      </w:pPr>
    </w:p>
    <w:p w14:paraId="10DC5D6B" w14:textId="77777777" w:rsidR="004D1D85" w:rsidRPr="007A395D" w:rsidRDefault="004D1D85" w:rsidP="00605E43">
      <w:pPr>
        <w:pStyle w:val="Annex"/>
        <w:sectPr w:rsidR="004D1D85" w:rsidRPr="007A395D" w:rsidSect="007A395D">
          <w:headerReference w:type="even" r:id="rId8"/>
          <w:headerReference w:type="default" r:id="rId9"/>
          <w:footerReference w:type="default" r:id="rId10"/>
          <w:headerReference w:type="first" r:id="rId11"/>
          <w:pgSz w:w="11906" w:h="16838"/>
          <w:pgMar w:top="709" w:right="991" w:bottom="1134" w:left="1134" w:header="709" w:footer="709" w:gutter="0"/>
          <w:cols w:space="708"/>
          <w:titlePg/>
          <w:docGrid w:linePitch="360"/>
        </w:sectPr>
      </w:pPr>
    </w:p>
    <w:p w14:paraId="0AE6A493" w14:textId="74B32E0B" w:rsidR="000005D3" w:rsidRPr="00E34581" w:rsidRDefault="00E34581" w:rsidP="00964888">
      <w:pPr>
        <w:pStyle w:val="Annex"/>
        <w:rPr>
          <w:color w:val="4F81BD" w:themeColor="accent1"/>
        </w:rPr>
      </w:pPr>
      <w:r>
        <w:rPr>
          <w:color w:val="4F81BD" w:themeColor="accent1"/>
        </w:rPr>
        <w:lastRenderedPageBreak/>
        <w:t xml:space="preserve"> </w:t>
      </w:r>
      <w:r w:rsidR="000005D3" w:rsidRPr="00E34581">
        <w:rPr>
          <w:color w:val="4F81BD" w:themeColor="accent1"/>
        </w:rPr>
        <w:t>Annex 1</w:t>
      </w:r>
      <w:r w:rsidR="00964888" w:rsidRPr="00E34581">
        <w:rPr>
          <w:color w:val="4F81BD" w:themeColor="accent1"/>
        </w:rPr>
        <w:t xml:space="preserve">: </w:t>
      </w:r>
      <w:r w:rsidR="00E43128">
        <w:rPr>
          <w:color w:val="4F81BD" w:themeColor="accent1"/>
        </w:rPr>
        <w:t>EGNOS</w:t>
      </w:r>
      <w:r w:rsidR="00964888" w:rsidRPr="00E34581">
        <w:rPr>
          <w:color w:val="4F81BD" w:themeColor="accent1"/>
        </w:rPr>
        <w:t xml:space="preserve"> for Off-Shore Oil &amp; Gas Operations</w:t>
      </w:r>
    </w:p>
    <w:p w14:paraId="4D444F7A" w14:textId="3A54C266" w:rsidR="004D1D85" w:rsidRPr="00E34581" w:rsidRDefault="00964888" w:rsidP="00E34581">
      <w:pPr>
        <w:pStyle w:val="Heading1"/>
        <w:numPr>
          <w:ilvl w:val="0"/>
          <w:numId w:val="38"/>
        </w:numPr>
      </w:pPr>
      <w:r w:rsidRPr="00E34581">
        <w:t>Methodology overview</w:t>
      </w:r>
    </w:p>
    <w:p w14:paraId="2192D806" w14:textId="09A6F84A" w:rsidR="00D9725E" w:rsidRDefault="00D9725E" w:rsidP="00D9725E">
      <w:pPr>
        <w:pStyle w:val="BodyText"/>
      </w:pPr>
      <w:r>
        <w:t xml:space="preserve">In order to achieve the main objective of </w:t>
      </w:r>
      <w:r w:rsidRPr="00D9725E">
        <w:t xml:space="preserve">identifying the opportunities for </w:t>
      </w:r>
      <w:r w:rsidR="00E43128">
        <w:t>EGNOS</w:t>
      </w:r>
      <w:r w:rsidRPr="00D9725E">
        <w:t xml:space="preserve"> introduction </w:t>
      </w:r>
      <w:r>
        <w:t xml:space="preserve">in the </w:t>
      </w:r>
      <w:r w:rsidR="008C5230">
        <w:t>off-shore</w:t>
      </w:r>
      <w:r>
        <w:t xml:space="preserve"> Oil &amp; Gas sector </w:t>
      </w:r>
      <w:r w:rsidRPr="00D9725E">
        <w:t>and the potential associated benefits</w:t>
      </w:r>
      <w:r w:rsidR="00594E6B">
        <w:t xml:space="preserve">, a </w:t>
      </w:r>
      <w:r w:rsidR="00215BBE">
        <w:t>well-structured</w:t>
      </w:r>
      <w:r w:rsidR="00594E6B">
        <w:t xml:space="preserve"> methodology was </w:t>
      </w:r>
      <w:r w:rsidR="00215BBE">
        <w:t>defined</w:t>
      </w:r>
      <w:r w:rsidR="00594E6B">
        <w:t xml:space="preserve"> and followed along the course of the </w:t>
      </w:r>
      <w:r w:rsidR="007935F9">
        <w:t>study</w:t>
      </w:r>
      <w:r w:rsidR="00594E6B">
        <w:t>.</w:t>
      </w:r>
    </w:p>
    <w:p w14:paraId="1979A154" w14:textId="26A4C3C9" w:rsidR="003836AE" w:rsidRDefault="003836AE" w:rsidP="003836AE">
      <w:pPr>
        <w:pStyle w:val="BodyText"/>
      </w:pPr>
      <w:r>
        <w:t xml:space="preserve">The first step was to perform a detailed analysis of the </w:t>
      </w:r>
      <w:r w:rsidR="008C5230">
        <w:t>off-shore</w:t>
      </w:r>
      <w:r>
        <w:t xml:space="preserve"> Oil &amp; Gas applications market from the point of view of positioning. </w:t>
      </w:r>
    </w:p>
    <w:p w14:paraId="651714E2" w14:textId="77777777" w:rsidR="003836AE" w:rsidRDefault="003836AE" w:rsidP="003836AE">
      <w:pPr>
        <w:pStyle w:val="BodyText"/>
      </w:pPr>
      <w:r>
        <w:t>Through this market assessment, it was provided an overview of:</w:t>
      </w:r>
    </w:p>
    <w:p w14:paraId="05C97CBD" w14:textId="03E504F0" w:rsidR="003836AE" w:rsidRDefault="003836AE" w:rsidP="003836AE">
      <w:pPr>
        <w:pStyle w:val="BodyText"/>
        <w:numPr>
          <w:ilvl w:val="0"/>
          <w:numId w:val="36"/>
        </w:numPr>
      </w:pPr>
      <w:r>
        <w:t>Positioning technologies: overview of the most popular positioning techniques used</w:t>
      </w:r>
      <w:r w:rsidRPr="003836AE">
        <w:t xml:space="preserve"> </w:t>
      </w:r>
      <w:r>
        <w:t>in the Off-Shore Oil &amp; Gas market, including a presentation of their main principles, benefits and limitations.</w:t>
      </w:r>
    </w:p>
    <w:p w14:paraId="6EF0BECC" w14:textId="77777777" w:rsidR="003836AE" w:rsidRDefault="003836AE" w:rsidP="003836AE">
      <w:pPr>
        <w:pStyle w:val="BodyText"/>
        <w:numPr>
          <w:ilvl w:val="0"/>
          <w:numId w:val="36"/>
        </w:numPr>
      </w:pPr>
      <w:r w:rsidRPr="003836AE">
        <w:t xml:space="preserve">Positioning services: summary of the main commercial and public positioning services/solutions available today </w:t>
      </w:r>
      <w:r>
        <w:t>in the Off-Shore Oil &amp; Gas market,</w:t>
      </w:r>
      <w:r w:rsidRPr="003836AE">
        <w:t xml:space="preserve"> focusing on their main features (performance, coverage) and high level architecture (ground/space infrastructure, etc.).</w:t>
      </w:r>
    </w:p>
    <w:p w14:paraId="04DBD833" w14:textId="77777777" w:rsidR="003836AE" w:rsidRDefault="003836AE" w:rsidP="003836AE">
      <w:pPr>
        <w:pStyle w:val="BodyText"/>
        <w:numPr>
          <w:ilvl w:val="0"/>
          <w:numId w:val="36"/>
        </w:numPr>
      </w:pPr>
      <w:r>
        <w:t>Commercial/Public services value chain, including:</w:t>
      </w:r>
    </w:p>
    <w:p w14:paraId="23439E81" w14:textId="77777777" w:rsidR="003836AE" w:rsidRDefault="003836AE" w:rsidP="003836AE">
      <w:pPr>
        <w:pStyle w:val="BodyText"/>
        <w:numPr>
          <w:ilvl w:val="1"/>
          <w:numId w:val="36"/>
        </w:numPr>
      </w:pPr>
      <w:r>
        <w:t>A general description of the value chain of positioning services, identifying the main functional elements required to provide this type of services. For each functional element, the different options that commercial/public service providers may select will be identified.</w:t>
      </w:r>
    </w:p>
    <w:p w14:paraId="7522949A" w14:textId="74248843" w:rsidR="003836AE" w:rsidRDefault="003836AE" w:rsidP="003836AE">
      <w:pPr>
        <w:pStyle w:val="BodyText"/>
        <w:numPr>
          <w:ilvl w:val="1"/>
          <w:numId w:val="36"/>
        </w:numPr>
      </w:pPr>
      <w:r>
        <w:t>Actual value chain of the existing commercial/public Services: the key players and main features of each element for all commercial/public services will be identified in a synthetic way (as per available public information).</w:t>
      </w:r>
    </w:p>
    <w:p w14:paraId="4ECB46A2" w14:textId="4ECF0C0E" w:rsidR="009E79C5" w:rsidRDefault="007662D5" w:rsidP="009E79C5">
      <w:pPr>
        <w:pStyle w:val="BodyText"/>
      </w:pPr>
      <w:r w:rsidRPr="00351A81">
        <w:t>Next step was the an</w:t>
      </w:r>
      <w:r w:rsidR="003805FC">
        <w:t xml:space="preserve">alysis of the market status in terms of </w:t>
      </w:r>
      <w:r w:rsidRPr="00351A81">
        <w:t xml:space="preserve">size </w:t>
      </w:r>
      <w:r w:rsidR="003805FC">
        <w:t xml:space="preserve">and share </w:t>
      </w:r>
      <w:r w:rsidRPr="00351A81">
        <w:t>of the market worldwide and at European level, including the</w:t>
      </w:r>
      <w:r>
        <w:t xml:space="preserve"> available information of </w:t>
      </w:r>
      <w:r w:rsidR="003805FC">
        <w:t>key</w:t>
      </w:r>
      <w:r>
        <w:t xml:space="preserve"> player</w:t>
      </w:r>
      <w:r w:rsidR="003805FC">
        <w:t xml:space="preserve">s in relation with </w:t>
      </w:r>
      <w:r>
        <w:t xml:space="preserve">positioning technology. </w:t>
      </w:r>
      <w:r w:rsidR="009E79C5">
        <w:t xml:space="preserve">The following aspects were also covered: </w:t>
      </w:r>
      <w:r w:rsidR="009E79C5" w:rsidRPr="003805FC">
        <w:t xml:space="preserve">drivers, restraints, opportunities </w:t>
      </w:r>
      <w:r w:rsidR="0057632B">
        <w:t xml:space="preserve">and challenges of the </w:t>
      </w:r>
      <w:r w:rsidR="008C5230">
        <w:t>off-shore</w:t>
      </w:r>
      <w:r w:rsidR="0057632B">
        <w:t xml:space="preserve"> O</w:t>
      </w:r>
      <w:r w:rsidR="009E79C5" w:rsidRPr="003805FC">
        <w:t xml:space="preserve">il </w:t>
      </w:r>
      <w:r w:rsidR="0057632B">
        <w:t>&amp; Gas</w:t>
      </w:r>
      <w:r w:rsidR="009E79C5" w:rsidRPr="003805FC">
        <w:t xml:space="preserve"> market from the perspective of GNSS positioning services use.</w:t>
      </w:r>
    </w:p>
    <w:p w14:paraId="1A10C6C6" w14:textId="2F1D8BBB" w:rsidR="007C5B88" w:rsidRDefault="007C5B88" w:rsidP="007C5B88">
      <w:pPr>
        <w:pStyle w:val="BodyText"/>
      </w:pPr>
      <w:r>
        <w:t xml:space="preserve">In view of the above market situation, and the </w:t>
      </w:r>
      <w:r w:rsidR="00E43128">
        <w:t>EGNOS</w:t>
      </w:r>
      <w:r>
        <w:t xml:space="preserve"> features in comparison with the other positioning techniques/services used in the Off-Shore Oil &amp; Gas market,</w:t>
      </w:r>
      <w:r w:rsidR="00311C77">
        <w:t xml:space="preserve"> the value proposition was performed by means of identifying </w:t>
      </w:r>
      <w:r>
        <w:t xml:space="preserve">the opportunities for </w:t>
      </w:r>
      <w:r w:rsidR="00E43128">
        <w:t>EGNOS</w:t>
      </w:r>
      <w:r>
        <w:t xml:space="preserve"> introduction and the potential associated benefits</w:t>
      </w:r>
      <w:r w:rsidR="00140F47">
        <w:t>.</w:t>
      </w:r>
      <w:r>
        <w:t xml:space="preserve"> </w:t>
      </w:r>
    </w:p>
    <w:p w14:paraId="66B7BE41" w14:textId="1B865662" w:rsidR="004D5960" w:rsidRDefault="004D5960" w:rsidP="007C5B88">
      <w:pPr>
        <w:pStyle w:val="BodyText"/>
      </w:pPr>
      <w:r>
        <w:t>Finally, the market assessment, value proposition and SWOT (strengths</w:t>
      </w:r>
      <w:r w:rsidR="006C0856">
        <w:t>,</w:t>
      </w:r>
      <w:r>
        <w:t xml:space="preserve"> weaknesses</w:t>
      </w:r>
      <w:r w:rsidR="006C0856">
        <w:t>, opportunities and threats</w:t>
      </w:r>
      <w:r>
        <w:t xml:space="preserve">) analysis </w:t>
      </w:r>
      <w:r w:rsidR="006C0856">
        <w:t>le</w:t>
      </w:r>
      <w:r>
        <w:t>d to identify the target market</w:t>
      </w:r>
      <w:r w:rsidR="006C0856">
        <w:t xml:space="preserve">, as well as to outline main </w:t>
      </w:r>
      <w:r>
        <w:t xml:space="preserve">conclusions </w:t>
      </w:r>
      <w:r w:rsidR="006C0856">
        <w:t xml:space="preserve">of the </w:t>
      </w:r>
      <w:r w:rsidR="007935F9">
        <w:t>study</w:t>
      </w:r>
      <w:r>
        <w:t>.</w:t>
      </w:r>
    </w:p>
    <w:p w14:paraId="03B6A91E" w14:textId="5971D57F" w:rsidR="00964888" w:rsidRPr="00E34581" w:rsidRDefault="00964888" w:rsidP="00E34581">
      <w:pPr>
        <w:pStyle w:val="Heading1"/>
        <w:numPr>
          <w:ilvl w:val="0"/>
          <w:numId w:val="38"/>
        </w:numPr>
      </w:pPr>
      <w:r w:rsidRPr="00E34581">
        <w:t>Market assessment</w:t>
      </w:r>
    </w:p>
    <w:p w14:paraId="79F41555" w14:textId="7B38D094" w:rsidR="00923CA8" w:rsidRDefault="00BD723D" w:rsidP="000F0554">
      <w:pPr>
        <w:pStyle w:val="BodyText"/>
      </w:pPr>
      <w:r>
        <w:t xml:space="preserve">In </w:t>
      </w:r>
      <w:r w:rsidR="00923CA8">
        <w:t>order</w:t>
      </w:r>
      <w:r>
        <w:t xml:space="preserve"> to identify opportunities for </w:t>
      </w:r>
      <w:r w:rsidR="00E43128">
        <w:t>EGNOS</w:t>
      </w:r>
      <w:r w:rsidR="00923CA8">
        <w:t xml:space="preserve"> introduction and the potential associated benefits, it is important to have a clear view of the market situation. Therefore, the </w:t>
      </w:r>
      <w:r w:rsidR="00E43128">
        <w:t>EGNOS</w:t>
      </w:r>
      <w:r w:rsidR="00923CA8">
        <w:t xml:space="preserve"> features have to be evaluated in comparison with other positioning techniques and subsequent services used in the Oil &amp; Gas sector.</w:t>
      </w:r>
    </w:p>
    <w:p w14:paraId="57D85B73" w14:textId="04C8B860" w:rsidR="004B3BEE" w:rsidRPr="00DB3668" w:rsidRDefault="004B3BEE" w:rsidP="000F0554">
      <w:pPr>
        <w:pStyle w:val="BodyText"/>
        <w:rPr>
          <w:b/>
        </w:rPr>
      </w:pPr>
      <w:r w:rsidRPr="00E23553">
        <w:t xml:space="preserve">It is noted that the maritime navigation does not rely on a stand-alone GNSS system. The integrated bridge navigation system of ships requires a set of navigation sensors in order to obtain higher degrees of availability and integrity. This set of sensors may include: Gyro – heading and rate of turn, magnetic compass, GNSS, AIS, </w:t>
      </w:r>
      <w:r>
        <w:t xml:space="preserve">IMU, </w:t>
      </w:r>
      <w:r w:rsidRPr="00E23553">
        <w:t>echo sounder, speed log, weather fax, sound reception, etc.</w:t>
      </w:r>
      <w:r>
        <w:t xml:space="preserve"> </w:t>
      </w:r>
      <w:r w:rsidRPr="00E23553">
        <w:t xml:space="preserve">This </w:t>
      </w:r>
      <w:r>
        <w:t xml:space="preserve">market assessment is </w:t>
      </w:r>
      <w:r w:rsidRPr="00E23553">
        <w:t>only focussed in the GNSS sensor and the underlying positioning technique.</w:t>
      </w:r>
    </w:p>
    <w:p w14:paraId="2C002668" w14:textId="34E78A60" w:rsidR="000F0554" w:rsidRPr="00E34581" w:rsidRDefault="004B3BEE" w:rsidP="00E34581">
      <w:pPr>
        <w:pStyle w:val="Heading2"/>
      </w:pPr>
      <w:r>
        <w:t xml:space="preserve">GNSS </w:t>
      </w:r>
      <w:r w:rsidR="000F0554" w:rsidRPr="00E34581">
        <w:t>Positioning techniques</w:t>
      </w:r>
    </w:p>
    <w:p w14:paraId="1C99CFCA" w14:textId="2355FD6A" w:rsidR="00CD2E15" w:rsidRDefault="00386B58" w:rsidP="000F0554">
      <w:pPr>
        <w:pStyle w:val="BodyText"/>
      </w:pPr>
      <w:r>
        <w:t>T</w:t>
      </w:r>
      <w:r w:rsidR="000F0554" w:rsidRPr="000F0554">
        <w:t xml:space="preserve">he starting point was the </w:t>
      </w:r>
      <w:r>
        <w:t xml:space="preserve">assessment of the </w:t>
      </w:r>
      <w:r w:rsidR="004B3BEE">
        <w:t xml:space="preserve">GNSS </w:t>
      </w:r>
      <w:r w:rsidR="000F0554" w:rsidRPr="000F0554">
        <w:t xml:space="preserve">positioning techniques available to support </w:t>
      </w:r>
      <w:r w:rsidR="008C5230">
        <w:t>off-shore</w:t>
      </w:r>
      <w:r w:rsidR="000F0554" w:rsidRPr="000F0554">
        <w:t xml:space="preserve"> Oil &amp; Gas operations, including those which are provided free of charge to users and those requiring a subscription, typically providing the most stringent positioning performance in terms of accuracy. </w:t>
      </w:r>
    </w:p>
    <w:p w14:paraId="630BEE61" w14:textId="6B0B397C" w:rsidR="00CD2E15" w:rsidRDefault="00CD2E15" w:rsidP="000F0554">
      <w:pPr>
        <w:pStyle w:val="BodyText"/>
      </w:pPr>
      <w:r>
        <w:lastRenderedPageBreak/>
        <w:t>The positioning techniques analysed have been the following: GNSS</w:t>
      </w:r>
      <w:r w:rsidR="000D1E3C">
        <w:t xml:space="preserve"> (Global Navigation Satellite Systems)</w:t>
      </w:r>
      <w:r>
        <w:t>, SBAS</w:t>
      </w:r>
      <w:r w:rsidR="000D1E3C">
        <w:t xml:space="preserve"> (</w:t>
      </w:r>
      <w:r w:rsidR="000D1E3C" w:rsidRPr="00E23553">
        <w:t>Satellite-Based Augmentation System</w:t>
      </w:r>
      <w:r w:rsidR="000D1E3C">
        <w:t>s)</w:t>
      </w:r>
      <w:r>
        <w:t>, DGNSS</w:t>
      </w:r>
      <w:r w:rsidR="000D1E3C">
        <w:t xml:space="preserve"> (</w:t>
      </w:r>
      <w:r w:rsidR="000D1E3C" w:rsidRPr="00E23553">
        <w:t>Differential GNSS</w:t>
      </w:r>
      <w:r w:rsidR="000D1E3C">
        <w:t>)</w:t>
      </w:r>
      <w:r>
        <w:t xml:space="preserve">, High-accuracy </w:t>
      </w:r>
      <w:r w:rsidR="000D1E3C">
        <w:t>DGNSS and PPP (</w:t>
      </w:r>
      <w:r w:rsidR="000D1E3C" w:rsidRPr="00E23553">
        <w:t>Precise Point Positioning</w:t>
      </w:r>
      <w:r w:rsidR="000D1E3C">
        <w:t>).</w:t>
      </w:r>
    </w:p>
    <w:p w14:paraId="1F7B64E5" w14:textId="77777777" w:rsidR="00496374" w:rsidRDefault="000F0554" w:rsidP="004B4CD9">
      <w:pPr>
        <w:pStyle w:val="BodyText"/>
      </w:pPr>
      <w:r w:rsidRPr="000F0554">
        <w:t xml:space="preserve">Once all the techniques had been </w:t>
      </w:r>
      <w:r w:rsidR="00C77B2E">
        <w:t>analysed</w:t>
      </w:r>
      <w:r w:rsidRPr="000F0554">
        <w:t>, considering their main principles of functioning and the expected performance, a</w:t>
      </w:r>
      <w:r w:rsidR="00C77B2E">
        <w:t xml:space="preserve"> comparison among them was performed. </w:t>
      </w:r>
      <w:r w:rsidR="00BB37A7">
        <w:t xml:space="preserve">The tables below </w:t>
      </w:r>
      <w:r w:rsidR="00496374">
        <w:t>compare</w:t>
      </w:r>
      <w:r w:rsidR="00BB37A7">
        <w:t xml:space="preserve"> the features of each positioning technique used in off-shore applications. </w:t>
      </w:r>
      <w:r w:rsidR="00496374">
        <w:t>Through</w:t>
      </w:r>
      <w:r w:rsidR="00C77B2E">
        <w:t xml:space="preserve"> this </w:t>
      </w:r>
      <w:r w:rsidR="00496374">
        <w:t>summary,</w:t>
      </w:r>
      <w:r w:rsidR="00C77B2E">
        <w:t xml:space="preserve"> </w:t>
      </w:r>
      <w:r w:rsidR="00496374">
        <w:t xml:space="preserve">it can be identified </w:t>
      </w:r>
      <w:r w:rsidR="00C77B2E" w:rsidRPr="000F0554">
        <w:t>the differences between them in terms of accuracy, coverage, broadcast means, ground infrastructure requirements and main limitations.</w:t>
      </w:r>
      <w:r w:rsidR="00496374">
        <w:t xml:space="preserve"> </w:t>
      </w:r>
    </w:p>
    <w:p w14:paraId="11D67094" w14:textId="0926A6E1" w:rsidR="004B4CD9" w:rsidRPr="007A395D" w:rsidRDefault="00BB37A7" w:rsidP="004B4CD9">
      <w:pPr>
        <w:pStyle w:val="BodyText"/>
      </w:pPr>
      <w:r>
        <w:t xml:space="preserve">It </w:t>
      </w:r>
      <w:r w:rsidR="00496374">
        <w:t xml:space="preserve">should be </w:t>
      </w:r>
      <w:r>
        <w:t xml:space="preserve">noted that </w:t>
      </w:r>
      <w:r w:rsidR="00496374">
        <w:fldChar w:fldCharType="begin"/>
      </w:r>
      <w:r w:rsidR="00496374">
        <w:instrText xml:space="preserve"> REF _Ref474837866 \r \h </w:instrText>
      </w:r>
      <w:r w:rsidR="00496374">
        <w:fldChar w:fldCharType="separate"/>
      </w:r>
      <w:r w:rsidR="00D9725E">
        <w:t>Table 1</w:t>
      </w:r>
      <w:r w:rsidR="00496374">
        <w:fldChar w:fldCharType="end"/>
      </w:r>
      <w:r w:rsidR="00496374">
        <w:t xml:space="preserve"> provides </w:t>
      </w:r>
      <w:r>
        <w:t>an approximation and it is susceptible to exceptions depending on the receiver hardware, algorithm, the positioning service technology, etc.</w:t>
      </w:r>
    </w:p>
    <w:p w14:paraId="10226056" w14:textId="33D597EE" w:rsidR="004B4CD9" w:rsidRDefault="004B4CD9" w:rsidP="00BB37A7">
      <w:pPr>
        <w:pStyle w:val="Table"/>
      </w:pPr>
      <w:bookmarkStart w:id="6" w:name="_Ref474837866"/>
      <w:r w:rsidRPr="001A01D2">
        <w:rPr>
          <w:szCs w:val="24"/>
        </w:rPr>
        <w:t>Comparison of positioning techniques for off-shore applications</w:t>
      </w:r>
      <w:bookmarkEnd w:id="6"/>
    </w:p>
    <w:tbl>
      <w:tblPr>
        <w:tblW w:w="988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A0" w:firstRow="1" w:lastRow="0" w:firstColumn="1" w:lastColumn="0" w:noHBand="0" w:noVBand="1"/>
      </w:tblPr>
      <w:tblGrid>
        <w:gridCol w:w="1809"/>
        <w:gridCol w:w="1372"/>
        <w:gridCol w:w="1677"/>
        <w:gridCol w:w="1677"/>
        <w:gridCol w:w="1677"/>
        <w:gridCol w:w="1677"/>
      </w:tblGrid>
      <w:tr w:rsidR="00BB37A7" w:rsidRPr="00BB37A7" w14:paraId="5B98F0A7" w14:textId="77777777" w:rsidTr="00DB3668">
        <w:trPr>
          <w:cantSplit/>
          <w:trHeight w:val="330"/>
          <w:tblHeader/>
        </w:trPr>
        <w:tc>
          <w:tcPr>
            <w:tcW w:w="1809" w:type="dxa"/>
            <w:shd w:val="clear" w:color="auto" w:fill="0070C0"/>
            <w:vAlign w:val="center"/>
          </w:tcPr>
          <w:p w14:paraId="2B97D02C" w14:textId="77777777" w:rsidR="00BB37A7" w:rsidRPr="00BB37A7" w:rsidRDefault="00BB37A7" w:rsidP="00BB37A7">
            <w:pPr>
              <w:pStyle w:val="BodyText"/>
              <w:jc w:val="center"/>
              <w:rPr>
                <w:rFonts w:asciiTheme="minorHAnsi" w:hAnsiTheme="minorHAnsi"/>
                <w:b/>
                <w:color w:val="FFFFFF" w:themeColor="background1"/>
              </w:rPr>
            </w:pPr>
            <w:r w:rsidRPr="00BB37A7">
              <w:rPr>
                <w:rFonts w:asciiTheme="minorHAnsi" w:hAnsiTheme="minorHAnsi"/>
                <w:b/>
                <w:color w:val="FFFFFF" w:themeColor="background1"/>
              </w:rPr>
              <w:t>Aspect</w:t>
            </w:r>
          </w:p>
        </w:tc>
        <w:tc>
          <w:tcPr>
            <w:tcW w:w="1372" w:type="dxa"/>
            <w:shd w:val="clear" w:color="auto" w:fill="0070C0"/>
            <w:vAlign w:val="center"/>
          </w:tcPr>
          <w:p w14:paraId="7A1A00C5" w14:textId="77777777" w:rsidR="00BB37A7" w:rsidRPr="00BB37A7" w:rsidRDefault="00BB37A7" w:rsidP="00BB37A7">
            <w:pPr>
              <w:pStyle w:val="BodyText"/>
              <w:jc w:val="center"/>
              <w:rPr>
                <w:rFonts w:asciiTheme="minorHAnsi" w:hAnsiTheme="minorHAnsi"/>
                <w:b/>
                <w:color w:val="FFFFFF" w:themeColor="background1"/>
              </w:rPr>
            </w:pPr>
            <w:r w:rsidRPr="00BB37A7">
              <w:rPr>
                <w:rFonts w:asciiTheme="minorHAnsi" w:hAnsiTheme="minorHAnsi"/>
                <w:b/>
                <w:color w:val="FFFFFF" w:themeColor="background1"/>
              </w:rPr>
              <w:t>GNSS</w:t>
            </w:r>
          </w:p>
        </w:tc>
        <w:tc>
          <w:tcPr>
            <w:tcW w:w="1677" w:type="dxa"/>
            <w:shd w:val="clear" w:color="auto" w:fill="0070C0"/>
            <w:vAlign w:val="center"/>
          </w:tcPr>
          <w:p w14:paraId="529C8F22" w14:textId="77777777" w:rsidR="00BB37A7" w:rsidRPr="00BB37A7" w:rsidRDefault="00BB37A7" w:rsidP="00BB37A7">
            <w:pPr>
              <w:pStyle w:val="BodyText"/>
              <w:jc w:val="center"/>
              <w:rPr>
                <w:rFonts w:asciiTheme="minorHAnsi" w:hAnsiTheme="minorHAnsi"/>
                <w:b/>
                <w:color w:val="FFFFFF" w:themeColor="background1"/>
              </w:rPr>
            </w:pPr>
            <w:r w:rsidRPr="00BB37A7">
              <w:rPr>
                <w:rFonts w:asciiTheme="minorHAnsi" w:hAnsiTheme="minorHAnsi"/>
                <w:b/>
                <w:color w:val="FFFFFF" w:themeColor="background1"/>
              </w:rPr>
              <w:t>SBAS</w:t>
            </w:r>
          </w:p>
        </w:tc>
        <w:tc>
          <w:tcPr>
            <w:tcW w:w="1677" w:type="dxa"/>
            <w:shd w:val="clear" w:color="auto" w:fill="0070C0"/>
            <w:vAlign w:val="center"/>
          </w:tcPr>
          <w:p w14:paraId="5B2BF812" w14:textId="77777777" w:rsidR="00BB37A7" w:rsidRPr="00BB37A7" w:rsidRDefault="00BB37A7" w:rsidP="00BB37A7">
            <w:pPr>
              <w:pStyle w:val="BodyText"/>
              <w:jc w:val="center"/>
              <w:rPr>
                <w:rFonts w:asciiTheme="minorHAnsi" w:hAnsiTheme="minorHAnsi"/>
                <w:b/>
                <w:color w:val="FFFFFF" w:themeColor="background1"/>
              </w:rPr>
            </w:pPr>
            <w:r w:rsidRPr="00BB37A7">
              <w:rPr>
                <w:rFonts w:asciiTheme="minorHAnsi" w:hAnsiTheme="minorHAnsi"/>
                <w:b/>
                <w:color w:val="FFFFFF" w:themeColor="background1"/>
              </w:rPr>
              <w:t>DGNSS</w:t>
            </w:r>
          </w:p>
        </w:tc>
        <w:tc>
          <w:tcPr>
            <w:tcW w:w="1677" w:type="dxa"/>
            <w:shd w:val="clear" w:color="auto" w:fill="0070C0"/>
            <w:vAlign w:val="center"/>
          </w:tcPr>
          <w:p w14:paraId="40D8B9E2" w14:textId="77777777" w:rsidR="00BB37A7" w:rsidRPr="00BB37A7" w:rsidRDefault="00BB37A7" w:rsidP="00BB37A7">
            <w:pPr>
              <w:pStyle w:val="BodyText"/>
              <w:jc w:val="center"/>
              <w:rPr>
                <w:rFonts w:asciiTheme="minorHAnsi" w:hAnsiTheme="minorHAnsi"/>
                <w:b/>
                <w:color w:val="FFFFFF" w:themeColor="background1"/>
              </w:rPr>
            </w:pPr>
            <w:r w:rsidRPr="00BB37A7">
              <w:rPr>
                <w:rFonts w:asciiTheme="minorHAnsi" w:hAnsiTheme="minorHAnsi"/>
                <w:b/>
                <w:color w:val="FFFFFF" w:themeColor="background1"/>
              </w:rPr>
              <w:t>High-Accuracy DGNSS</w:t>
            </w:r>
          </w:p>
        </w:tc>
        <w:tc>
          <w:tcPr>
            <w:tcW w:w="1677" w:type="dxa"/>
            <w:shd w:val="clear" w:color="auto" w:fill="0070C0"/>
            <w:vAlign w:val="center"/>
          </w:tcPr>
          <w:p w14:paraId="555FE9CB" w14:textId="77777777" w:rsidR="00BB37A7" w:rsidRPr="00BB37A7" w:rsidRDefault="00BB37A7" w:rsidP="00BB37A7">
            <w:pPr>
              <w:pStyle w:val="BodyText"/>
              <w:jc w:val="center"/>
              <w:rPr>
                <w:rFonts w:asciiTheme="minorHAnsi" w:hAnsiTheme="minorHAnsi"/>
                <w:b/>
                <w:color w:val="FFFFFF" w:themeColor="background1"/>
              </w:rPr>
            </w:pPr>
            <w:r w:rsidRPr="00BB37A7">
              <w:rPr>
                <w:rFonts w:asciiTheme="minorHAnsi" w:hAnsiTheme="minorHAnsi"/>
                <w:b/>
                <w:color w:val="FFFFFF" w:themeColor="background1"/>
              </w:rPr>
              <w:t>PPP</w:t>
            </w:r>
          </w:p>
        </w:tc>
      </w:tr>
      <w:tr w:rsidR="00BB37A7" w:rsidRPr="00BB37A7" w14:paraId="2221BCB0" w14:textId="77777777" w:rsidTr="00DB3668">
        <w:trPr>
          <w:cantSplit/>
          <w:trHeight w:val="382"/>
        </w:trPr>
        <w:tc>
          <w:tcPr>
            <w:tcW w:w="1809" w:type="dxa"/>
            <w:shd w:val="clear" w:color="auto" w:fill="BFBFBF" w:themeFill="background1" w:themeFillShade="BF"/>
          </w:tcPr>
          <w:p w14:paraId="155523B1" w14:textId="77777777" w:rsidR="00BB37A7" w:rsidRPr="00BB37A7" w:rsidRDefault="00BB37A7" w:rsidP="00BB37A7">
            <w:pPr>
              <w:pStyle w:val="BodyText"/>
              <w:rPr>
                <w:rFonts w:asciiTheme="minorHAnsi" w:hAnsiTheme="minorHAnsi"/>
                <w:b/>
              </w:rPr>
            </w:pPr>
            <w:r w:rsidRPr="00BB37A7">
              <w:rPr>
                <w:rFonts w:asciiTheme="minorHAnsi" w:hAnsiTheme="minorHAnsi"/>
                <w:b/>
              </w:rPr>
              <w:t>Coverage</w:t>
            </w:r>
          </w:p>
        </w:tc>
        <w:tc>
          <w:tcPr>
            <w:tcW w:w="1372" w:type="dxa"/>
          </w:tcPr>
          <w:p w14:paraId="7E46FBCA" w14:textId="77777777" w:rsidR="00BB37A7" w:rsidRPr="00BB37A7" w:rsidRDefault="00BB37A7" w:rsidP="00BB37A7">
            <w:pPr>
              <w:pStyle w:val="BodyText"/>
              <w:rPr>
                <w:rFonts w:asciiTheme="minorHAnsi" w:hAnsiTheme="minorHAnsi"/>
              </w:rPr>
            </w:pPr>
            <w:r w:rsidRPr="00BB37A7">
              <w:rPr>
                <w:rFonts w:asciiTheme="minorHAnsi" w:hAnsiTheme="minorHAnsi"/>
              </w:rPr>
              <w:t>Global</w:t>
            </w:r>
          </w:p>
        </w:tc>
        <w:tc>
          <w:tcPr>
            <w:tcW w:w="1677" w:type="dxa"/>
          </w:tcPr>
          <w:p w14:paraId="043660F5" w14:textId="77777777" w:rsidR="00BB37A7" w:rsidRPr="00BB37A7" w:rsidRDefault="00BB37A7" w:rsidP="00BB37A7">
            <w:pPr>
              <w:pStyle w:val="BodyText"/>
              <w:rPr>
                <w:rFonts w:asciiTheme="minorHAnsi" w:hAnsiTheme="minorHAnsi"/>
              </w:rPr>
            </w:pPr>
            <w:r w:rsidRPr="00BB37A7">
              <w:rPr>
                <w:rFonts w:asciiTheme="minorHAnsi" w:hAnsiTheme="minorHAnsi"/>
              </w:rPr>
              <w:t>Regional</w:t>
            </w:r>
          </w:p>
        </w:tc>
        <w:tc>
          <w:tcPr>
            <w:tcW w:w="1677" w:type="dxa"/>
          </w:tcPr>
          <w:p w14:paraId="35325220" w14:textId="77777777" w:rsidR="00BB37A7" w:rsidRPr="00BB37A7" w:rsidRDefault="00BB37A7" w:rsidP="00BB37A7">
            <w:pPr>
              <w:pStyle w:val="BodyText"/>
              <w:rPr>
                <w:rFonts w:asciiTheme="minorHAnsi" w:hAnsiTheme="minorHAnsi"/>
              </w:rPr>
            </w:pPr>
            <w:r w:rsidRPr="00BB37A7">
              <w:rPr>
                <w:rFonts w:asciiTheme="minorHAnsi" w:hAnsiTheme="minorHAnsi"/>
              </w:rPr>
              <w:t>Local (&lt;370 km)</w:t>
            </w:r>
          </w:p>
        </w:tc>
        <w:tc>
          <w:tcPr>
            <w:tcW w:w="1677" w:type="dxa"/>
          </w:tcPr>
          <w:p w14:paraId="6685552A" w14:textId="77777777" w:rsidR="00BB37A7" w:rsidRPr="00BB37A7" w:rsidRDefault="00BB37A7" w:rsidP="00BB37A7">
            <w:pPr>
              <w:pStyle w:val="BodyText"/>
              <w:rPr>
                <w:rFonts w:asciiTheme="minorHAnsi" w:hAnsiTheme="minorHAnsi"/>
              </w:rPr>
            </w:pPr>
            <w:r w:rsidRPr="00BB37A7">
              <w:rPr>
                <w:rFonts w:asciiTheme="minorHAnsi" w:hAnsiTheme="minorHAnsi"/>
              </w:rPr>
              <w:t>&lt;2000 km</w:t>
            </w:r>
          </w:p>
        </w:tc>
        <w:tc>
          <w:tcPr>
            <w:tcW w:w="1677" w:type="dxa"/>
          </w:tcPr>
          <w:p w14:paraId="2421074C" w14:textId="77777777" w:rsidR="00BB37A7" w:rsidRPr="00BB37A7" w:rsidRDefault="00BB37A7" w:rsidP="00BB37A7">
            <w:pPr>
              <w:pStyle w:val="BodyText"/>
              <w:rPr>
                <w:rFonts w:asciiTheme="minorHAnsi" w:hAnsiTheme="minorHAnsi"/>
              </w:rPr>
            </w:pPr>
            <w:r w:rsidRPr="00BB37A7">
              <w:rPr>
                <w:rFonts w:asciiTheme="minorHAnsi" w:hAnsiTheme="minorHAnsi"/>
              </w:rPr>
              <w:t>Global</w:t>
            </w:r>
          </w:p>
        </w:tc>
      </w:tr>
      <w:tr w:rsidR="00BB37A7" w:rsidRPr="00BB37A7" w14:paraId="123EA70E" w14:textId="77777777" w:rsidTr="00DB3668">
        <w:trPr>
          <w:cantSplit/>
          <w:trHeight w:val="463"/>
        </w:trPr>
        <w:tc>
          <w:tcPr>
            <w:tcW w:w="1809" w:type="dxa"/>
            <w:shd w:val="clear" w:color="auto" w:fill="BFBFBF" w:themeFill="background1" w:themeFillShade="BF"/>
          </w:tcPr>
          <w:p w14:paraId="035069C2" w14:textId="77777777" w:rsidR="00BB37A7" w:rsidRPr="00BB37A7" w:rsidRDefault="00BB37A7" w:rsidP="00BB37A7">
            <w:pPr>
              <w:pStyle w:val="BodyText"/>
              <w:rPr>
                <w:rFonts w:asciiTheme="minorHAnsi" w:hAnsiTheme="minorHAnsi"/>
                <w:b/>
              </w:rPr>
            </w:pPr>
            <w:r w:rsidRPr="00BB37A7">
              <w:rPr>
                <w:rFonts w:asciiTheme="minorHAnsi" w:hAnsiTheme="minorHAnsi"/>
                <w:b/>
              </w:rPr>
              <w:t xml:space="preserve">Range limitation </w:t>
            </w:r>
          </w:p>
        </w:tc>
        <w:tc>
          <w:tcPr>
            <w:tcW w:w="1372" w:type="dxa"/>
          </w:tcPr>
          <w:p w14:paraId="3EF5E555" w14:textId="77777777" w:rsidR="00BB37A7" w:rsidRPr="00BB37A7" w:rsidRDefault="00BB37A7" w:rsidP="00BB37A7">
            <w:pPr>
              <w:pStyle w:val="BodyText"/>
              <w:rPr>
                <w:rFonts w:asciiTheme="minorHAnsi" w:hAnsiTheme="minorHAnsi"/>
              </w:rPr>
            </w:pPr>
            <w:r w:rsidRPr="00BB37A7">
              <w:rPr>
                <w:rFonts w:asciiTheme="minorHAnsi" w:hAnsiTheme="minorHAnsi"/>
              </w:rPr>
              <w:t>None</w:t>
            </w:r>
          </w:p>
        </w:tc>
        <w:tc>
          <w:tcPr>
            <w:tcW w:w="1677" w:type="dxa"/>
          </w:tcPr>
          <w:p w14:paraId="7A6BCE03" w14:textId="77777777" w:rsidR="00BB37A7" w:rsidRPr="00BB37A7" w:rsidRDefault="00BB37A7" w:rsidP="00BB37A7">
            <w:pPr>
              <w:pStyle w:val="BodyText"/>
              <w:rPr>
                <w:rFonts w:asciiTheme="minorHAnsi" w:hAnsiTheme="minorHAnsi"/>
              </w:rPr>
            </w:pPr>
            <w:r w:rsidRPr="00BB37A7">
              <w:rPr>
                <w:rFonts w:asciiTheme="minorHAnsi" w:hAnsiTheme="minorHAnsi"/>
              </w:rPr>
              <w:t>Service Coverage Area</w:t>
            </w:r>
          </w:p>
        </w:tc>
        <w:tc>
          <w:tcPr>
            <w:tcW w:w="1677" w:type="dxa"/>
          </w:tcPr>
          <w:p w14:paraId="14CB3BA8" w14:textId="77777777" w:rsidR="00BB37A7" w:rsidRPr="00BB37A7" w:rsidRDefault="00BB37A7" w:rsidP="00BB37A7">
            <w:pPr>
              <w:pStyle w:val="BodyText"/>
              <w:rPr>
                <w:rFonts w:asciiTheme="minorHAnsi" w:hAnsiTheme="minorHAnsi"/>
              </w:rPr>
            </w:pPr>
            <w:r w:rsidRPr="00BB37A7">
              <w:rPr>
                <w:rFonts w:asciiTheme="minorHAnsi" w:hAnsiTheme="minorHAnsi"/>
              </w:rPr>
              <w:t>Baseline</w:t>
            </w:r>
          </w:p>
        </w:tc>
        <w:tc>
          <w:tcPr>
            <w:tcW w:w="1677" w:type="dxa"/>
          </w:tcPr>
          <w:p w14:paraId="53BC6B87" w14:textId="77777777" w:rsidR="00BB37A7" w:rsidRPr="00BB37A7" w:rsidRDefault="00BB37A7" w:rsidP="00BB37A7">
            <w:pPr>
              <w:pStyle w:val="BodyText"/>
              <w:rPr>
                <w:rFonts w:asciiTheme="minorHAnsi" w:hAnsiTheme="minorHAnsi"/>
              </w:rPr>
            </w:pPr>
            <w:r w:rsidRPr="00BB37A7">
              <w:rPr>
                <w:rFonts w:asciiTheme="minorHAnsi" w:hAnsiTheme="minorHAnsi"/>
              </w:rPr>
              <w:t>Baseline</w:t>
            </w:r>
          </w:p>
        </w:tc>
        <w:tc>
          <w:tcPr>
            <w:tcW w:w="1677" w:type="dxa"/>
          </w:tcPr>
          <w:p w14:paraId="7E760F87" w14:textId="77777777" w:rsidR="00BB37A7" w:rsidRPr="00BB37A7" w:rsidRDefault="00BB37A7" w:rsidP="00BB37A7">
            <w:pPr>
              <w:pStyle w:val="BodyText"/>
              <w:rPr>
                <w:rFonts w:asciiTheme="minorHAnsi" w:hAnsiTheme="minorHAnsi"/>
              </w:rPr>
            </w:pPr>
            <w:r w:rsidRPr="00BB37A7">
              <w:rPr>
                <w:rFonts w:asciiTheme="minorHAnsi" w:hAnsiTheme="minorHAnsi"/>
              </w:rPr>
              <w:t>None</w:t>
            </w:r>
          </w:p>
        </w:tc>
      </w:tr>
      <w:tr w:rsidR="00BB37A7" w:rsidRPr="00BB37A7" w14:paraId="3C8DD11C" w14:textId="77777777" w:rsidTr="00DB3668">
        <w:trPr>
          <w:cantSplit/>
          <w:trHeight w:val="345"/>
        </w:trPr>
        <w:tc>
          <w:tcPr>
            <w:tcW w:w="1809" w:type="dxa"/>
            <w:shd w:val="clear" w:color="auto" w:fill="BFBFBF" w:themeFill="background1" w:themeFillShade="BF"/>
          </w:tcPr>
          <w:p w14:paraId="089B850D" w14:textId="77777777" w:rsidR="00BB37A7" w:rsidRPr="00BB37A7" w:rsidRDefault="00BB37A7" w:rsidP="00BB37A7">
            <w:pPr>
              <w:pStyle w:val="BodyText"/>
              <w:rPr>
                <w:rFonts w:asciiTheme="minorHAnsi" w:hAnsiTheme="minorHAnsi"/>
                <w:b/>
              </w:rPr>
            </w:pPr>
            <w:r w:rsidRPr="00BB37A7">
              <w:rPr>
                <w:rFonts w:asciiTheme="minorHAnsi" w:hAnsiTheme="minorHAnsi"/>
                <w:b/>
              </w:rPr>
              <w:t>Typical horizontal accuracy (2σ)</w:t>
            </w:r>
            <w:r w:rsidRPr="00BB37A7" w:rsidDel="00965E4E">
              <w:rPr>
                <w:rFonts w:asciiTheme="minorHAnsi" w:hAnsiTheme="minorHAnsi"/>
                <w:b/>
              </w:rPr>
              <w:t xml:space="preserve"> </w:t>
            </w:r>
          </w:p>
        </w:tc>
        <w:tc>
          <w:tcPr>
            <w:tcW w:w="1372" w:type="dxa"/>
          </w:tcPr>
          <w:p w14:paraId="514C09B4" w14:textId="77777777" w:rsidR="00BB37A7" w:rsidRPr="00BB37A7" w:rsidRDefault="00BB37A7" w:rsidP="00BB37A7">
            <w:pPr>
              <w:pStyle w:val="BodyText"/>
              <w:rPr>
                <w:rFonts w:asciiTheme="minorHAnsi" w:hAnsiTheme="minorHAnsi"/>
              </w:rPr>
            </w:pPr>
            <w:r w:rsidRPr="00BB37A7">
              <w:rPr>
                <w:rFonts w:asciiTheme="minorHAnsi" w:hAnsiTheme="minorHAnsi"/>
              </w:rPr>
              <w:t>5-10 meters</w:t>
            </w:r>
          </w:p>
        </w:tc>
        <w:tc>
          <w:tcPr>
            <w:tcW w:w="1677" w:type="dxa"/>
          </w:tcPr>
          <w:p w14:paraId="6D1D3141" w14:textId="77777777" w:rsidR="00BB37A7" w:rsidRPr="00BB37A7" w:rsidRDefault="00BB37A7" w:rsidP="00BB37A7">
            <w:pPr>
              <w:pStyle w:val="BodyText"/>
              <w:rPr>
                <w:rFonts w:asciiTheme="minorHAnsi" w:hAnsiTheme="minorHAnsi"/>
              </w:rPr>
            </w:pPr>
            <w:r w:rsidRPr="00BB37A7">
              <w:rPr>
                <w:rFonts w:asciiTheme="minorHAnsi" w:hAnsiTheme="minorHAnsi"/>
              </w:rPr>
              <w:t>~3 meters</w:t>
            </w:r>
            <w:r w:rsidRPr="00BB37A7" w:rsidDel="00857A4F">
              <w:rPr>
                <w:rFonts w:asciiTheme="minorHAnsi" w:hAnsiTheme="minorHAnsi"/>
              </w:rPr>
              <w:t xml:space="preserve"> </w:t>
            </w:r>
          </w:p>
        </w:tc>
        <w:tc>
          <w:tcPr>
            <w:tcW w:w="1677" w:type="dxa"/>
          </w:tcPr>
          <w:p w14:paraId="13F775EA" w14:textId="77777777" w:rsidR="00BB37A7" w:rsidRPr="00BB37A7" w:rsidRDefault="00BB37A7" w:rsidP="00BB37A7">
            <w:pPr>
              <w:pStyle w:val="BodyText"/>
              <w:rPr>
                <w:rFonts w:asciiTheme="minorHAnsi" w:hAnsiTheme="minorHAnsi"/>
              </w:rPr>
            </w:pPr>
            <w:r w:rsidRPr="00BB37A7">
              <w:rPr>
                <w:rFonts w:asciiTheme="minorHAnsi" w:hAnsiTheme="minorHAnsi"/>
              </w:rPr>
              <w:t>&lt;5 meters (95%)</w:t>
            </w:r>
            <w:r w:rsidRPr="00BB37A7">
              <w:rPr>
                <w:rFonts w:asciiTheme="minorHAnsi" w:hAnsiTheme="minorHAnsi"/>
                <w:vertAlign w:val="superscript"/>
              </w:rPr>
              <w:footnoteReference w:id="3"/>
            </w:r>
          </w:p>
        </w:tc>
        <w:tc>
          <w:tcPr>
            <w:tcW w:w="1677" w:type="dxa"/>
          </w:tcPr>
          <w:p w14:paraId="177349AF" w14:textId="77777777" w:rsidR="00BB37A7" w:rsidRPr="00BB37A7" w:rsidRDefault="00BB37A7" w:rsidP="00BB37A7">
            <w:pPr>
              <w:pStyle w:val="BodyText"/>
              <w:rPr>
                <w:rFonts w:asciiTheme="minorHAnsi" w:hAnsiTheme="minorHAnsi"/>
              </w:rPr>
            </w:pPr>
            <w:r w:rsidRPr="00BB37A7">
              <w:rPr>
                <w:rFonts w:asciiTheme="minorHAnsi" w:hAnsiTheme="minorHAnsi"/>
              </w:rPr>
              <w:t>20 - 50 cm</w:t>
            </w:r>
          </w:p>
        </w:tc>
        <w:tc>
          <w:tcPr>
            <w:tcW w:w="1677" w:type="dxa"/>
          </w:tcPr>
          <w:p w14:paraId="3CDE707A" w14:textId="77777777" w:rsidR="00BB37A7" w:rsidRPr="00BB37A7" w:rsidRDefault="00BB37A7" w:rsidP="00BB37A7">
            <w:pPr>
              <w:pStyle w:val="BodyText"/>
              <w:rPr>
                <w:rFonts w:asciiTheme="minorHAnsi" w:hAnsiTheme="minorHAnsi"/>
              </w:rPr>
            </w:pPr>
            <w:r w:rsidRPr="00BB37A7">
              <w:rPr>
                <w:rFonts w:asciiTheme="minorHAnsi" w:hAnsiTheme="minorHAnsi"/>
              </w:rPr>
              <w:t>15 cm</w:t>
            </w:r>
          </w:p>
        </w:tc>
      </w:tr>
      <w:tr w:rsidR="00BB37A7" w:rsidRPr="00BB37A7" w14:paraId="20119CD9" w14:textId="77777777" w:rsidTr="00DB3668">
        <w:trPr>
          <w:cantSplit/>
          <w:trHeight w:val="383"/>
        </w:trPr>
        <w:tc>
          <w:tcPr>
            <w:tcW w:w="1809" w:type="dxa"/>
            <w:shd w:val="clear" w:color="auto" w:fill="BFBFBF" w:themeFill="background1" w:themeFillShade="BF"/>
          </w:tcPr>
          <w:p w14:paraId="279C0261" w14:textId="07B9514D" w:rsidR="00BB37A7" w:rsidRPr="00BB37A7" w:rsidRDefault="00BB37A7" w:rsidP="00BB37A7">
            <w:pPr>
              <w:pStyle w:val="BodyText"/>
              <w:rPr>
                <w:rFonts w:asciiTheme="minorHAnsi" w:hAnsiTheme="minorHAnsi"/>
                <w:b/>
              </w:rPr>
            </w:pPr>
            <w:r w:rsidRPr="00BB37A7">
              <w:rPr>
                <w:rFonts w:asciiTheme="minorHAnsi" w:hAnsiTheme="minorHAnsi"/>
                <w:b/>
              </w:rPr>
              <w:t>Typical vertical accuracy (2σ)</w:t>
            </w:r>
          </w:p>
        </w:tc>
        <w:tc>
          <w:tcPr>
            <w:tcW w:w="1372" w:type="dxa"/>
          </w:tcPr>
          <w:p w14:paraId="27140999" w14:textId="77777777" w:rsidR="00BB37A7" w:rsidRPr="00BB37A7" w:rsidRDefault="00BB37A7" w:rsidP="00BB37A7">
            <w:pPr>
              <w:pStyle w:val="BodyText"/>
              <w:rPr>
                <w:rFonts w:asciiTheme="minorHAnsi" w:hAnsiTheme="minorHAnsi"/>
              </w:rPr>
            </w:pPr>
            <w:r w:rsidRPr="00BB37A7">
              <w:rPr>
                <w:rFonts w:asciiTheme="minorHAnsi" w:hAnsiTheme="minorHAnsi"/>
              </w:rPr>
              <w:t>10 - 15 meters</w:t>
            </w:r>
          </w:p>
        </w:tc>
        <w:tc>
          <w:tcPr>
            <w:tcW w:w="1677" w:type="dxa"/>
          </w:tcPr>
          <w:p w14:paraId="46C0FB90" w14:textId="77777777" w:rsidR="00BB37A7" w:rsidRPr="00BB37A7" w:rsidRDefault="00BB37A7" w:rsidP="00BB37A7">
            <w:pPr>
              <w:pStyle w:val="BodyText"/>
              <w:rPr>
                <w:rFonts w:asciiTheme="minorHAnsi" w:hAnsiTheme="minorHAnsi"/>
              </w:rPr>
            </w:pPr>
            <w:r w:rsidRPr="00BB37A7">
              <w:rPr>
                <w:rFonts w:asciiTheme="minorHAnsi" w:hAnsiTheme="minorHAnsi"/>
              </w:rPr>
              <w:t>~5 meters</w:t>
            </w:r>
          </w:p>
        </w:tc>
        <w:tc>
          <w:tcPr>
            <w:tcW w:w="1677" w:type="dxa"/>
          </w:tcPr>
          <w:p w14:paraId="747F9A00" w14:textId="77777777" w:rsidR="00BB37A7" w:rsidRPr="00BB37A7" w:rsidRDefault="00BB37A7" w:rsidP="00BB37A7">
            <w:pPr>
              <w:pStyle w:val="BodyText"/>
              <w:rPr>
                <w:rFonts w:asciiTheme="minorHAnsi" w:hAnsiTheme="minorHAnsi"/>
              </w:rPr>
            </w:pPr>
            <w:r w:rsidRPr="00BB37A7">
              <w:rPr>
                <w:rFonts w:asciiTheme="minorHAnsi" w:hAnsiTheme="minorHAnsi"/>
              </w:rPr>
              <w:t>~5 meters</w:t>
            </w:r>
          </w:p>
        </w:tc>
        <w:tc>
          <w:tcPr>
            <w:tcW w:w="1677" w:type="dxa"/>
          </w:tcPr>
          <w:p w14:paraId="5E43F845" w14:textId="77777777" w:rsidR="00BB37A7" w:rsidRPr="00BB37A7" w:rsidRDefault="00BB37A7" w:rsidP="00BB37A7">
            <w:pPr>
              <w:pStyle w:val="BodyText"/>
              <w:rPr>
                <w:rFonts w:asciiTheme="minorHAnsi" w:hAnsiTheme="minorHAnsi"/>
              </w:rPr>
            </w:pPr>
            <w:r w:rsidRPr="00BB37A7">
              <w:rPr>
                <w:rFonts w:asciiTheme="minorHAnsi" w:hAnsiTheme="minorHAnsi"/>
              </w:rPr>
              <w:t>20 - 50 cm</w:t>
            </w:r>
          </w:p>
        </w:tc>
        <w:tc>
          <w:tcPr>
            <w:tcW w:w="1677" w:type="dxa"/>
          </w:tcPr>
          <w:p w14:paraId="70985C16" w14:textId="77777777" w:rsidR="00BB37A7" w:rsidRPr="00BB37A7" w:rsidRDefault="00BB37A7" w:rsidP="00BB37A7">
            <w:pPr>
              <w:pStyle w:val="BodyText"/>
              <w:rPr>
                <w:rFonts w:asciiTheme="minorHAnsi" w:hAnsiTheme="minorHAnsi"/>
              </w:rPr>
            </w:pPr>
            <w:r w:rsidRPr="00BB37A7">
              <w:rPr>
                <w:rFonts w:asciiTheme="minorHAnsi" w:hAnsiTheme="minorHAnsi"/>
              </w:rPr>
              <w:t>20 cm</w:t>
            </w:r>
          </w:p>
        </w:tc>
      </w:tr>
      <w:tr w:rsidR="00BB37A7" w:rsidRPr="00BB37A7" w14:paraId="3CE6854A" w14:textId="77777777" w:rsidTr="00DB3668">
        <w:trPr>
          <w:cantSplit/>
          <w:trHeight w:val="650"/>
        </w:trPr>
        <w:tc>
          <w:tcPr>
            <w:tcW w:w="1809" w:type="dxa"/>
            <w:shd w:val="clear" w:color="auto" w:fill="BFBFBF" w:themeFill="background1" w:themeFillShade="BF"/>
          </w:tcPr>
          <w:p w14:paraId="4E640951" w14:textId="77777777" w:rsidR="00BB37A7" w:rsidRPr="00BB37A7" w:rsidRDefault="00BB37A7" w:rsidP="00BB37A7">
            <w:pPr>
              <w:pStyle w:val="BodyText"/>
              <w:rPr>
                <w:rFonts w:asciiTheme="minorHAnsi" w:hAnsiTheme="minorHAnsi"/>
                <w:b/>
              </w:rPr>
            </w:pPr>
            <w:r w:rsidRPr="00BB37A7">
              <w:rPr>
                <w:rFonts w:asciiTheme="minorHAnsi" w:hAnsiTheme="minorHAnsi"/>
                <w:b/>
              </w:rPr>
              <w:t>Corrections</w:t>
            </w:r>
          </w:p>
        </w:tc>
        <w:tc>
          <w:tcPr>
            <w:tcW w:w="1372" w:type="dxa"/>
          </w:tcPr>
          <w:p w14:paraId="6EC636BA" w14:textId="77777777" w:rsidR="00BB37A7" w:rsidRPr="00BB37A7" w:rsidRDefault="00BB37A7" w:rsidP="00BB37A7">
            <w:pPr>
              <w:pStyle w:val="BodyText"/>
              <w:rPr>
                <w:rFonts w:asciiTheme="minorHAnsi" w:hAnsiTheme="minorHAnsi"/>
              </w:rPr>
            </w:pPr>
            <w:r w:rsidRPr="00BB37A7">
              <w:rPr>
                <w:rFonts w:asciiTheme="minorHAnsi" w:hAnsiTheme="minorHAnsi"/>
              </w:rPr>
              <w:t>N/A</w:t>
            </w:r>
          </w:p>
        </w:tc>
        <w:tc>
          <w:tcPr>
            <w:tcW w:w="1677" w:type="dxa"/>
          </w:tcPr>
          <w:p w14:paraId="452E5EAD" w14:textId="77777777" w:rsidR="00BB37A7" w:rsidRPr="00BB37A7" w:rsidRDefault="00BB37A7" w:rsidP="00BB37A7">
            <w:pPr>
              <w:pStyle w:val="BodyText"/>
              <w:rPr>
                <w:rFonts w:asciiTheme="minorHAnsi" w:hAnsiTheme="minorHAnsi"/>
              </w:rPr>
            </w:pPr>
            <w:r w:rsidRPr="00BB37A7">
              <w:rPr>
                <w:rFonts w:asciiTheme="minorHAnsi" w:hAnsiTheme="minorHAnsi"/>
              </w:rPr>
              <w:t>SBAS corrections</w:t>
            </w:r>
          </w:p>
        </w:tc>
        <w:tc>
          <w:tcPr>
            <w:tcW w:w="1677" w:type="dxa"/>
          </w:tcPr>
          <w:p w14:paraId="1EF2FC46" w14:textId="77777777" w:rsidR="00BB37A7" w:rsidRPr="00BB37A7" w:rsidRDefault="00BB37A7" w:rsidP="00BB37A7">
            <w:pPr>
              <w:pStyle w:val="BodyText"/>
              <w:rPr>
                <w:rFonts w:asciiTheme="minorHAnsi" w:hAnsiTheme="minorHAnsi"/>
              </w:rPr>
            </w:pPr>
            <w:r w:rsidRPr="00BB37A7">
              <w:rPr>
                <w:rFonts w:asciiTheme="minorHAnsi" w:hAnsiTheme="minorHAnsi"/>
              </w:rPr>
              <w:t>DGNSS corrections</w:t>
            </w:r>
          </w:p>
        </w:tc>
        <w:tc>
          <w:tcPr>
            <w:tcW w:w="1677" w:type="dxa"/>
          </w:tcPr>
          <w:p w14:paraId="6AC4D2B5" w14:textId="77777777" w:rsidR="00BB37A7" w:rsidRPr="00BB37A7" w:rsidRDefault="00BB37A7" w:rsidP="00BB37A7">
            <w:pPr>
              <w:pStyle w:val="BodyText"/>
              <w:rPr>
                <w:rFonts w:asciiTheme="minorHAnsi" w:hAnsiTheme="minorHAnsi"/>
              </w:rPr>
            </w:pPr>
            <w:r w:rsidRPr="00BB37A7">
              <w:rPr>
                <w:rFonts w:asciiTheme="minorHAnsi" w:hAnsiTheme="minorHAnsi"/>
              </w:rPr>
              <w:t>Base station raw data (code and carrier phase), satellite orbit corrections</w:t>
            </w:r>
          </w:p>
        </w:tc>
        <w:tc>
          <w:tcPr>
            <w:tcW w:w="1677" w:type="dxa"/>
          </w:tcPr>
          <w:p w14:paraId="1BD45C52" w14:textId="77777777" w:rsidR="00BB37A7" w:rsidRPr="00BB37A7" w:rsidRDefault="00BB37A7" w:rsidP="00BB37A7">
            <w:pPr>
              <w:pStyle w:val="BodyText"/>
              <w:rPr>
                <w:rFonts w:asciiTheme="minorHAnsi" w:hAnsiTheme="minorHAnsi"/>
              </w:rPr>
            </w:pPr>
            <w:r w:rsidRPr="00BB37A7">
              <w:rPr>
                <w:rFonts w:asciiTheme="minorHAnsi" w:hAnsiTheme="minorHAnsi"/>
              </w:rPr>
              <w:t>GNSS precise orbits and clocks</w:t>
            </w:r>
          </w:p>
        </w:tc>
      </w:tr>
      <w:tr w:rsidR="00BB37A7" w:rsidRPr="00BB37A7" w14:paraId="28DA4498" w14:textId="77777777" w:rsidTr="00DB3668">
        <w:trPr>
          <w:cantSplit/>
          <w:trHeight w:val="259"/>
        </w:trPr>
        <w:tc>
          <w:tcPr>
            <w:tcW w:w="1809" w:type="dxa"/>
            <w:shd w:val="clear" w:color="auto" w:fill="BFBFBF" w:themeFill="background1" w:themeFillShade="BF"/>
          </w:tcPr>
          <w:p w14:paraId="72943701" w14:textId="77777777" w:rsidR="00BB37A7" w:rsidRPr="00BB37A7" w:rsidRDefault="00BB37A7" w:rsidP="00BB37A7">
            <w:pPr>
              <w:pStyle w:val="BodyText"/>
              <w:rPr>
                <w:rFonts w:asciiTheme="minorHAnsi" w:hAnsiTheme="minorHAnsi"/>
                <w:b/>
              </w:rPr>
            </w:pPr>
            <w:r w:rsidRPr="00BB37A7">
              <w:rPr>
                <w:rFonts w:asciiTheme="minorHAnsi" w:hAnsiTheme="minorHAnsi"/>
                <w:b/>
              </w:rPr>
              <w:t>Communications</w:t>
            </w:r>
          </w:p>
        </w:tc>
        <w:tc>
          <w:tcPr>
            <w:tcW w:w="1372" w:type="dxa"/>
          </w:tcPr>
          <w:p w14:paraId="3B0F1A60" w14:textId="13ECE919" w:rsidR="00BB37A7" w:rsidRPr="00BB37A7" w:rsidRDefault="006944CA" w:rsidP="00BB37A7">
            <w:pPr>
              <w:pStyle w:val="BodyText"/>
              <w:rPr>
                <w:rFonts w:asciiTheme="minorHAnsi" w:hAnsiTheme="minorHAnsi"/>
              </w:rPr>
            </w:pPr>
            <w:r>
              <w:rPr>
                <w:rFonts w:asciiTheme="minorHAnsi" w:hAnsiTheme="minorHAnsi"/>
              </w:rPr>
              <w:t>Satellite</w:t>
            </w:r>
          </w:p>
        </w:tc>
        <w:tc>
          <w:tcPr>
            <w:tcW w:w="1677" w:type="dxa"/>
          </w:tcPr>
          <w:p w14:paraId="4D7395D6" w14:textId="77777777" w:rsidR="00BB37A7" w:rsidRPr="00BB37A7" w:rsidRDefault="00BB37A7" w:rsidP="00BB37A7">
            <w:pPr>
              <w:pStyle w:val="BodyText"/>
              <w:rPr>
                <w:rFonts w:asciiTheme="minorHAnsi" w:hAnsiTheme="minorHAnsi"/>
              </w:rPr>
            </w:pPr>
            <w:r w:rsidRPr="00BB37A7">
              <w:rPr>
                <w:rFonts w:asciiTheme="minorHAnsi" w:hAnsiTheme="minorHAnsi"/>
              </w:rPr>
              <w:t>Satellite</w:t>
            </w:r>
          </w:p>
        </w:tc>
        <w:tc>
          <w:tcPr>
            <w:tcW w:w="1677" w:type="dxa"/>
          </w:tcPr>
          <w:p w14:paraId="66481F16" w14:textId="77777777" w:rsidR="00BB37A7" w:rsidRPr="00BB37A7" w:rsidRDefault="00BB37A7" w:rsidP="00BB37A7">
            <w:pPr>
              <w:pStyle w:val="BodyText"/>
              <w:rPr>
                <w:rFonts w:asciiTheme="minorHAnsi" w:hAnsiTheme="minorHAnsi"/>
              </w:rPr>
            </w:pPr>
            <w:r w:rsidRPr="00BB37A7">
              <w:rPr>
                <w:rFonts w:asciiTheme="minorHAnsi" w:hAnsiTheme="minorHAnsi"/>
              </w:rPr>
              <w:t>Radio</w:t>
            </w:r>
          </w:p>
        </w:tc>
        <w:tc>
          <w:tcPr>
            <w:tcW w:w="1677" w:type="dxa"/>
          </w:tcPr>
          <w:p w14:paraId="77DD81DB" w14:textId="77777777" w:rsidR="00BB37A7" w:rsidRPr="00BB37A7" w:rsidRDefault="00BB37A7" w:rsidP="00BB37A7">
            <w:pPr>
              <w:pStyle w:val="BodyText"/>
              <w:rPr>
                <w:rFonts w:asciiTheme="minorHAnsi" w:hAnsiTheme="minorHAnsi"/>
              </w:rPr>
            </w:pPr>
            <w:r w:rsidRPr="00BB37A7">
              <w:rPr>
                <w:rFonts w:asciiTheme="minorHAnsi" w:hAnsiTheme="minorHAnsi"/>
              </w:rPr>
              <w:t>Radio &amp; Satellite</w:t>
            </w:r>
          </w:p>
        </w:tc>
        <w:tc>
          <w:tcPr>
            <w:tcW w:w="1677" w:type="dxa"/>
          </w:tcPr>
          <w:p w14:paraId="07CB99DC" w14:textId="77777777" w:rsidR="00BB37A7" w:rsidRPr="00BB37A7" w:rsidRDefault="00BB37A7" w:rsidP="00BB37A7">
            <w:pPr>
              <w:pStyle w:val="BodyText"/>
              <w:rPr>
                <w:rFonts w:asciiTheme="minorHAnsi" w:hAnsiTheme="minorHAnsi"/>
              </w:rPr>
            </w:pPr>
            <w:r w:rsidRPr="00BB37A7">
              <w:rPr>
                <w:rFonts w:asciiTheme="minorHAnsi" w:hAnsiTheme="minorHAnsi"/>
              </w:rPr>
              <w:t xml:space="preserve">Satellite </w:t>
            </w:r>
          </w:p>
        </w:tc>
      </w:tr>
      <w:tr w:rsidR="00BB37A7" w:rsidRPr="00BB37A7" w14:paraId="0660663A" w14:textId="77777777" w:rsidTr="00DB3668">
        <w:trPr>
          <w:cantSplit/>
          <w:trHeight w:val="1032"/>
        </w:trPr>
        <w:tc>
          <w:tcPr>
            <w:tcW w:w="1809" w:type="dxa"/>
            <w:shd w:val="clear" w:color="auto" w:fill="BFBFBF" w:themeFill="background1" w:themeFillShade="BF"/>
          </w:tcPr>
          <w:p w14:paraId="5886537C" w14:textId="77777777" w:rsidR="00BB37A7" w:rsidRPr="00BB37A7" w:rsidRDefault="00BB37A7" w:rsidP="00BB37A7">
            <w:pPr>
              <w:pStyle w:val="BodyText"/>
              <w:rPr>
                <w:rFonts w:asciiTheme="minorHAnsi" w:hAnsiTheme="minorHAnsi"/>
                <w:b/>
              </w:rPr>
            </w:pPr>
            <w:r w:rsidRPr="00BB37A7">
              <w:rPr>
                <w:rFonts w:asciiTheme="minorHAnsi" w:hAnsiTheme="minorHAnsi"/>
                <w:b/>
              </w:rPr>
              <w:t>Major limitation</w:t>
            </w:r>
          </w:p>
        </w:tc>
        <w:tc>
          <w:tcPr>
            <w:tcW w:w="1372" w:type="dxa"/>
          </w:tcPr>
          <w:p w14:paraId="343D94D7" w14:textId="77777777" w:rsidR="00BB37A7" w:rsidRPr="00BB37A7" w:rsidRDefault="00BB37A7" w:rsidP="00BB37A7">
            <w:pPr>
              <w:pStyle w:val="BodyText"/>
              <w:rPr>
                <w:rFonts w:asciiTheme="minorHAnsi" w:hAnsiTheme="minorHAnsi"/>
              </w:rPr>
            </w:pPr>
            <w:r w:rsidRPr="00BB37A7">
              <w:rPr>
                <w:rFonts w:asciiTheme="minorHAnsi" w:hAnsiTheme="minorHAnsi"/>
              </w:rPr>
              <w:t>Local effects (multipath, urban canyons, etc.)</w:t>
            </w:r>
          </w:p>
        </w:tc>
        <w:tc>
          <w:tcPr>
            <w:tcW w:w="1677" w:type="dxa"/>
          </w:tcPr>
          <w:p w14:paraId="3983B8F3" w14:textId="77777777" w:rsidR="00BB37A7" w:rsidRPr="00BB37A7" w:rsidRDefault="00BB37A7" w:rsidP="00BB37A7">
            <w:pPr>
              <w:pStyle w:val="BodyText"/>
              <w:rPr>
                <w:rFonts w:asciiTheme="minorHAnsi" w:hAnsiTheme="minorHAnsi"/>
              </w:rPr>
            </w:pPr>
            <w:r w:rsidRPr="00BB37A7">
              <w:rPr>
                <w:rFonts w:asciiTheme="minorHAnsi" w:hAnsiTheme="minorHAnsi"/>
              </w:rPr>
              <w:t>Local effects (multipath, urban canyons, etc.)</w:t>
            </w:r>
          </w:p>
        </w:tc>
        <w:tc>
          <w:tcPr>
            <w:tcW w:w="1677" w:type="dxa"/>
          </w:tcPr>
          <w:p w14:paraId="0D5B08A3" w14:textId="77777777" w:rsidR="00BB37A7" w:rsidRPr="00BB37A7" w:rsidRDefault="00BB37A7" w:rsidP="00BB37A7">
            <w:pPr>
              <w:pStyle w:val="BodyText"/>
              <w:rPr>
                <w:rFonts w:asciiTheme="minorHAnsi" w:hAnsiTheme="minorHAnsi"/>
              </w:rPr>
            </w:pPr>
            <w:r w:rsidRPr="00BB37A7">
              <w:rPr>
                <w:rFonts w:asciiTheme="minorHAnsi" w:hAnsiTheme="minorHAnsi"/>
              </w:rPr>
              <w:t xml:space="preserve">Range </w:t>
            </w:r>
          </w:p>
          <w:p w14:paraId="78671E31" w14:textId="77777777" w:rsidR="00BB37A7" w:rsidRPr="00BB37A7" w:rsidRDefault="00BB37A7" w:rsidP="00BB37A7">
            <w:pPr>
              <w:pStyle w:val="BodyText"/>
              <w:rPr>
                <w:rFonts w:asciiTheme="minorHAnsi" w:hAnsiTheme="minorHAnsi"/>
              </w:rPr>
            </w:pPr>
            <w:r w:rsidRPr="00BB37A7">
              <w:rPr>
                <w:rFonts w:asciiTheme="minorHAnsi" w:hAnsiTheme="minorHAnsi"/>
              </w:rPr>
              <w:t>Typical range is up to around 200 nautical miles (370 km)</w:t>
            </w:r>
          </w:p>
        </w:tc>
        <w:tc>
          <w:tcPr>
            <w:tcW w:w="1677" w:type="dxa"/>
          </w:tcPr>
          <w:p w14:paraId="26FE3ADC" w14:textId="77777777" w:rsidR="00BB37A7" w:rsidRPr="00BB37A7" w:rsidRDefault="00BB37A7" w:rsidP="00BB37A7">
            <w:pPr>
              <w:pStyle w:val="BodyText"/>
              <w:rPr>
                <w:rFonts w:asciiTheme="minorHAnsi" w:hAnsiTheme="minorHAnsi"/>
              </w:rPr>
            </w:pPr>
            <w:r w:rsidRPr="00BB37A7">
              <w:rPr>
                <w:rFonts w:asciiTheme="minorHAnsi" w:hAnsiTheme="minorHAnsi"/>
              </w:rPr>
              <w:t>Range</w:t>
            </w:r>
          </w:p>
          <w:p w14:paraId="0224C38C" w14:textId="77777777" w:rsidR="00BB37A7" w:rsidRPr="00BB37A7" w:rsidRDefault="00BB37A7" w:rsidP="00BB37A7">
            <w:pPr>
              <w:pStyle w:val="BodyText"/>
              <w:rPr>
                <w:rFonts w:asciiTheme="minorHAnsi" w:hAnsiTheme="minorHAnsi"/>
              </w:rPr>
            </w:pPr>
            <w:r w:rsidRPr="00BB37A7">
              <w:rPr>
                <w:rFonts w:asciiTheme="minorHAnsi" w:hAnsiTheme="minorHAnsi"/>
              </w:rPr>
              <w:t>dm precision: up to 1000 km</w:t>
            </w:r>
            <w:r w:rsidRPr="00BB37A7" w:rsidDel="00BC77D8">
              <w:rPr>
                <w:rFonts w:asciiTheme="minorHAnsi" w:hAnsiTheme="minorHAnsi"/>
              </w:rPr>
              <w:t xml:space="preserve"> </w:t>
            </w:r>
          </w:p>
          <w:p w14:paraId="576E791F" w14:textId="77777777" w:rsidR="00BB37A7" w:rsidRPr="00BB37A7" w:rsidRDefault="00BB37A7" w:rsidP="00BB37A7">
            <w:pPr>
              <w:pStyle w:val="BodyText"/>
              <w:rPr>
                <w:rFonts w:asciiTheme="minorHAnsi" w:hAnsiTheme="minorHAnsi"/>
              </w:rPr>
            </w:pPr>
            <w:r w:rsidRPr="00BB37A7">
              <w:rPr>
                <w:rFonts w:asciiTheme="minorHAnsi" w:hAnsiTheme="minorHAnsi"/>
              </w:rPr>
              <w:t>1-2 m precision up to 2000 km</w:t>
            </w:r>
          </w:p>
        </w:tc>
        <w:tc>
          <w:tcPr>
            <w:tcW w:w="1677" w:type="dxa"/>
          </w:tcPr>
          <w:p w14:paraId="44297AFF" w14:textId="77777777" w:rsidR="00BB37A7" w:rsidRPr="00BB37A7" w:rsidRDefault="00BB37A7" w:rsidP="00BB37A7">
            <w:pPr>
              <w:pStyle w:val="BodyText"/>
              <w:rPr>
                <w:rFonts w:asciiTheme="minorHAnsi" w:hAnsiTheme="minorHAnsi"/>
              </w:rPr>
            </w:pPr>
            <w:r w:rsidRPr="00BB37A7">
              <w:rPr>
                <w:rFonts w:asciiTheme="minorHAnsi" w:hAnsiTheme="minorHAnsi"/>
              </w:rPr>
              <w:t xml:space="preserve">Convergence period (standard around 30 min) </w:t>
            </w:r>
          </w:p>
        </w:tc>
      </w:tr>
    </w:tbl>
    <w:p w14:paraId="16C57F8A" w14:textId="77777777" w:rsidR="00BB37A7" w:rsidRDefault="00BB37A7" w:rsidP="00BB37A7">
      <w:pPr>
        <w:pStyle w:val="BodyText"/>
      </w:pPr>
    </w:p>
    <w:p w14:paraId="145BFEA8" w14:textId="72CE0BA1" w:rsidR="00E34581" w:rsidRDefault="00E34581">
      <w:pPr>
        <w:rPr>
          <w:rFonts w:ascii="Calibri" w:hAnsi="Calibri"/>
        </w:rPr>
      </w:pPr>
      <w:r>
        <w:br w:type="page"/>
      </w:r>
    </w:p>
    <w:p w14:paraId="7FBDBC93" w14:textId="77BDE3EA" w:rsidR="000C44DC" w:rsidRPr="00830A50" w:rsidRDefault="004B4CD9" w:rsidP="000C44DC">
      <w:pPr>
        <w:pStyle w:val="Table"/>
      </w:pPr>
      <w:r w:rsidRPr="000C44DC">
        <w:rPr>
          <w:szCs w:val="22"/>
        </w:rPr>
        <w:lastRenderedPageBreak/>
        <w:t>Availability of positioning technologies</w:t>
      </w:r>
      <w:r w:rsidRPr="0052013B">
        <w:rPr>
          <w:rStyle w:val="FootnoteReference"/>
          <w:szCs w:val="22"/>
          <w:vertAlign w:val="superscript"/>
        </w:rPr>
        <w:footnoteReference w:id="4"/>
      </w:r>
      <w:r>
        <w:rPr>
          <w:szCs w:val="22"/>
        </w:rPr>
        <w:t xml:space="preserve"> </w:t>
      </w:r>
      <w:r>
        <w:rPr>
          <w:szCs w:val="22"/>
        </w:rPr>
        <w:fldChar w:fldCharType="begin"/>
      </w:r>
      <w:r>
        <w:rPr>
          <w:szCs w:val="22"/>
        </w:rPr>
        <w:instrText xml:space="preserve"> REF _Ref474830356 \r \h </w:instrText>
      </w:r>
      <w:r>
        <w:rPr>
          <w:szCs w:val="22"/>
        </w:rPr>
      </w:r>
      <w:r>
        <w:rPr>
          <w:szCs w:val="22"/>
        </w:rPr>
        <w:fldChar w:fldCharType="separate"/>
      </w:r>
      <w:r w:rsidR="00D9725E">
        <w:rPr>
          <w:szCs w:val="22"/>
        </w:rPr>
        <w:t>[2]</w:t>
      </w:r>
      <w:r>
        <w:rPr>
          <w:szCs w:val="22"/>
        </w:rPr>
        <w:fldChar w:fldCharType="end"/>
      </w:r>
    </w:p>
    <w:tbl>
      <w:tblPr>
        <w:tblW w:w="988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4A0" w:firstRow="1" w:lastRow="0" w:firstColumn="1" w:lastColumn="0" w:noHBand="0" w:noVBand="1"/>
      </w:tblPr>
      <w:tblGrid>
        <w:gridCol w:w="1511"/>
        <w:gridCol w:w="1674"/>
        <w:gridCol w:w="1673"/>
        <w:gridCol w:w="1678"/>
        <w:gridCol w:w="1683"/>
        <w:gridCol w:w="1670"/>
      </w:tblGrid>
      <w:tr w:rsidR="000C44DC" w:rsidRPr="000C44DC" w14:paraId="7E8000CF" w14:textId="77777777" w:rsidTr="000C44DC">
        <w:trPr>
          <w:cantSplit/>
          <w:trHeight w:val="666"/>
          <w:tblHeader/>
        </w:trPr>
        <w:tc>
          <w:tcPr>
            <w:tcW w:w="1526" w:type="dxa"/>
            <w:shd w:val="clear" w:color="auto" w:fill="0070C0"/>
            <w:vAlign w:val="center"/>
          </w:tcPr>
          <w:p w14:paraId="2CF8625E" w14:textId="77777777" w:rsidR="000C44DC" w:rsidRPr="000C44DC" w:rsidRDefault="000C44DC" w:rsidP="000C44DC">
            <w:pPr>
              <w:keepNext/>
              <w:rPr>
                <w:rFonts w:asciiTheme="minorHAnsi" w:hAnsiTheme="minorHAnsi"/>
                <w:b/>
                <w:color w:val="FFFFFF" w:themeColor="background1"/>
              </w:rPr>
            </w:pPr>
            <w:r w:rsidRPr="000C44DC">
              <w:rPr>
                <w:rFonts w:asciiTheme="minorHAnsi" w:hAnsiTheme="minorHAnsi"/>
                <w:b/>
                <w:color w:val="FFFFFF" w:themeColor="background1"/>
              </w:rPr>
              <w:t>Aspect</w:t>
            </w:r>
          </w:p>
        </w:tc>
        <w:tc>
          <w:tcPr>
            <w:tcW w:w="1701" w:type="dxa"/>
            <w:shd w:val="clear" w:color="auto" w:fill="0070C0"/>
            <w:vAlign w:val="center"/>
          </w:tcPr>
          <w:p w14:paraId="4FE27981" w14:textId="77777777" w:rsidR="000C44DC" w:rsidRPr="000C44DC" w:rsidRDefault="000C44DC" w:rsidP="000C44DC">
            <w:pPr>
              <w:keepNext/>
              <w:jc w:val="center"/>
              <w:rPr>
                <w:rFonts w:asciiTheme="minorHAnsi" w:hAnsiTheme="minorHAnsi"/>
                <w:b/>
                <w:color w:val="FFFFFF" w:themeColor="background1"/>
              </w:rPr>
            </w:pPr>
            <w:r w:rsidRPr="000C44DC">
              <w:rPr>
                <w:rFonts w:asciiTheme="minorHAnsi" w:hAnsiTheme="minorHAnsi"/>
                <w:b/>
                <w:color w:val="FFFFFF" w:themeColor="background1"/>
              </w:rPr>
              <w:t>GNSS</w:t>
            </w:r>
          </w:p>
        </w:tc>
        <w:tc>
          <w:tcPr>
            <w:tcW w:w="1701" w:type="dxa"/>
            <w:shd w:val="clear" w:color="auto" w:fill="0070C0"/>
            <w:vAlign w:val="center"/>
          </w:tcPr>
          <w:p w14:paraId="3E5C1D09" w14:textId="77777777" w:rsidR="000C44DC" w:rsidRPr="000C44DC" w:rsidRDefault="000C44DC" w:rsidP="000C44DC">
            <w:pPr>
              <w:keepNext/>
              <w:jc w:val="center"/>
              <w:rPr>
                <w:rFonts w:asciiTheme="minorHAnsi" w:hAnsiTheme="minorHAnsi"/>
                <w:b/>
                <w:color w:val="FFFFFF" w:themeColor="background1"/>
              </w:rPr>
            </w:pPr>
            <w:r w:rsidRPr="000C44DC">
              <w:rPr>
                <w:rFonts w:asciiTheme="minorHAnsi" w:hAnsiTheme="minorHAnsi"/>
                <w:b/>
                <w:color w:val="FFFFFF" w:themeColor="background1"/>
              </w:rPr>
              <w:t>SBAS</w:t>
            </w:r>
          </w:p>
        </w:tc>
        <w:tc>
          <w:tcPr>
            <w:tcW w:w="1701" w:type="dxa"/>
            <w:shd w:val="clear" w:color="auto" w:fill="0070C0"/>
            <w:vAlign w:val="center"/>
          </w:tcPr>
          <w:p w14:paraId="6ED2AD92" w14:textId="77777777" w:rsidR="000C44DC" w:rsidRPr="000C44DC" w:rsidRDefault="000C44DC" w:rsidP="000C44DC">
            <w:pPr>
              <w:keepNext/>
              <w:jc w:val="center"/>
              <w:rPr>
                <w:rFonts w:asciiTheme="minorHAnsi" w:hAnsiTheme="minorHAnsi"/>
                <w:b/>
                <w:color w:val="FFFFFF" w:themeColor="background1"/>
              </w:rPr>
            </w:pPr>
            <w:r w:rsidRPr="000C44DC">
              <w:rPr>
                <w:rFonts w:asciiTheme="minorHAnsi" w:hAnsiTheme="minorHAnsi"/>
                <w:b/>
                <w:color w:val="FFFFFF" w:themeColor="background1"/>
              </w:rPr>
              <w:t>DGNSS</w:t>
            </w:r>
          </w:p>
        </w:tc>
        <w:tc>
          <w:tcPr>
            <w:tcW w:w="1701" w:type="dxa"/>
            <w:shd w:val="clear" w:color="auto" w:fill="0070C0"/>
            <w:vAlign w:val="center"/>
          </w:tcPr>
          <w:p w14:paraId="2359A8EF" w14:textId="77777777" w:rsidR="000C44DC" w:rsidRPr="000C44DC" w:rsidRDefault="000C44DC" w:rsidP="000C44DC">
            <w:pPr>
              <w:keepNext/>
              <w:jc w:val="center"/>
              <w:rPr>
                <w:rFonts w:asciiTheme="minorHAnsi" w:hAnsiTheme="minorHAnsi"/>
                <w:b/>
                <w:color w:val="FFFFFF" w:themeColor="background1"/>
              </w:rPr>
            </w:pPr>
            <w:r w:rsidRPr="000C44DC">
              <w:rPr>
                <w:rFonts w:asciiTheme="minorHAnsi" w:hAnsiTheme="minorHAnsi"/>
                <w:b/>
                <w:color w:val="FFFFFF" w:themeColor="background1"/>
              </w:rPr>
              <w:t>High-Accuracy DGNSS</w:t>
            </w:r>
          </w:p>
        </w:tc>
        <w:tc>
          <w:tcPr>
            <w:tcW w:w="1701" w:type="dxa"/>
            <w:shd w:val="clear" w:color="auto" w:fill="0070C0"/>
            <w:vAlign w:val="center"/>
          </w:tcPr>
          <w:p w14:paraId="41B2AC12" w14:textId="77777777" w:rsidR="000C44DC" w:rsidRPr="000C44DC" w:rsidRDefault="000C44DC" w:rsidP="000C44DC">
            <w:pPr>
              <w:keepNext/>
              <w:jc w:val="center"/>
              <w:rPr>
                <w:rFonts w:asciiTheme="minorHAnsi" w:hAnsiTheme="minorHAnsi"/>
                <w:b/>
                <w:color w:val="FFFFFF" w:themeColor="background1"/>
              </w:rPr>
            </w:pPr>
            <w:r w:rsidRPr="000C44DC">
              <w:rPr>
                <w:rFonts w:asciiTheme="minorHAnsi" w:hAnsiTheme="minorHAnsi"/>
                <w:b/>
                <w:color w:val="FFFFFF" w:themeColor="background1"/>
              </w:rPr>
              <w:t>PPP</w:t>
            </w:r>
          </w:p>
        </w:tc>
      </w:tr>
      <w:tr w:rsidR="000C44DC" w:rsidRPr="000C44DC" w14:paraId="10043FEE" w14:textId="77777777" w:rsidTr="000C44DC">
        <w:trPr>
          <w:cantSplit/>
          <w:trHeight w:val="382"/>
        </w:trPr>
        <w:tc>
          <w:tcPr>
            <w:tcW w:w="1526" w:type="dxa"/>
            <w:shd w:val="clear" w:color="auto" w:fill="BFBFBF" w:themeFill="background1" w:themeFillShade="BF"/>
            <w:vAlign w:val="center"/>
          </w:tcPr>
          <w:p w14:paraId="0FABEFFA" w14:textId="77777777" w:rsidR="000C44DC" w:rsidRPr="000C44DC" w:rsidRDefault="000C44DC" w:rsidP="000C44DC">
            <w:pPr>
              <w:rPr>
                <w:rFonts w:asciiTheme="minorHAnsi" w:hAnsiTheme="minorHAnsi"/>
                <w:b/>
              </w:rPr>
            </w:pPr>
            <w:r w:rsidRPr="000C44DC">
              <w:rPr>
                <w:rFonts w:asciiTheme="minorHAnsi" w:hAnsiTheme="minorHAnsi"/>
                <w:b/>
              </w:rPr>
              <w:t>Land</w:t>
            </w:r>
          </w:p>
        </w:tc>
        <w:tc>
          <w:tcPr>
            <w:tcW w:w="1701" w:type="dxa"/>
            <w:vAlign w:val="center"/>
          </w:tcPr>
          <w:p w14:paraId="5221F727" w14:textId="77777777" w:rsidR="000C44DC" w:rsidRPr="000C44DC" w:rsidRDefault="000C44DC" w:rsidP="000C44DC">
            <w:pPr>
              <w:jc w:val="center"/>
              <w:rPr>
                <w:rFonts w:asciiTheme="minorHAnsi" w:hAnsiTheme="minorHAnsi"/>
              </w:rPr>
            </w:pPr>
            <w:r w:rsidRPr="000C44DC">
              <w:rPr>
                <w:rFonts w:asciiTheme="minorHAnsi" w:hAnsiTheme="minorHAnsi"/>
              </w:rPr>
              <w:sym w:font="Wingdings" w:char="F0FC"/>
            </w:r>
          </w:p>
        </w:tc>
        <w:tc>
          <w:tcPr>
            <w:tcW w:w="1701" w:type="dxa"/>
            <w:vAlign w:val="center"/>
          </w:tcPr>
          <w:p w14:paraId="7C1368E2" w14:textId="77777777" w:rsidR="000C44DC" w:rsidRPr="000C44DC" w:rsidRDefault="000C44DC" w:rsidP="000C44DC">
            <w:pPr>
              <w:jc w:val="center"/>
              <w:rPr>
                <w:rFonts w:asciiTheme="minorHAnsi" w:hAnsiTheme="minorHAnsi"/>
              </w:rPr>
            </w:pPr>
            <w:r w:rsidRPr="000C44DC">
              <w:rPr>
                <w:rFonts w:asciiTheme="minorHAnsi" w:hAnsiTheme="minorHAnsi"/>
              </w:rPr>
              <w:sym w:font="Wingdings" w:char="F0FC"/>
            </w:r>
          </w:p>
        </w:tc>
        <w:tc>
          <w:tcPr>
            <w:tcW w:w="1701" w:type="dxa"/>
            <w:vAlign w:val="center"/>
          </w:tcPr>
          <w:p w14:paraId="0FAB9E84" w14:textId="77777777" w:rsidR="000C44DC" w:rsidRPr="000C44DC" w:rsidRDefault="000C44DC" w:rsidP="000C44DC">
            <w:pPr>
              <w:jc w:val="center"/>
              <w:rPr>
                <w:rFonts w:asciiTheme="minorHAnsi" w:hAnsiTheme="minorHAnsi"/>
              </w:rPr>
            </w:pPr>
            <w:r w:rsidRPr="000C44DC">
              <w:rPr>
                <w:rFonts w:asciiTheme="minorHAnsi" w:hAnsiTheme="minorHAnsi"/>
              </w:rPr>
              <w:sym w:font="Wingdings" w:char="F0FC"/>
            </w:r>
          </w:p>
        </w:tc>
        <w:tc>
          <w:tcPr>
            <w:tcW w:w="1701" w:type="dxa"/>
            <w:vAlign w:val="center"/>
          </w:tcPr>
          <w:p w14:paraId="45ECDD88" w14:textId="77777777" w:rsidR="000C44DC" w:rsidRPr="000C44DC" w:rsidRDefault="000C44DC" w:rsidP="000C44DC">
            <w:pPr>
              <w:jc w:val="center"/>
              <w:rPr>
                <w:rFonts w:asciiTheme="minorHAnsi" w:hAnsiTheme="minorHAnsi"/>
              </w:rPr>
            </w:pPr>
            <w:r w:rsidRPr="000C44DC">
              <w:rPr>
                <w:rFonts w:asciiTheme="minorHAnsi" w:hAnsiTheme="minorHAnsi"/>
              </w:rPr>
              <w:sym w:font="Wingdings" w:char="F0FC"/>
            </w:r>
          </w:p>
        </w:tc>
        <w:tc>
          <w:tcPr>
            <w:tcW w:w="1701" w:type="dxa"/>
            <w:vAlign w:val="center"/>
          </w:tcPr>
          <w:p w14:paraId="2AFB915C" w14:textId="77777777" w:rsidR="000C44DC" w:rsidRPr="000C44DC" w:rsidRDefault="000C44DC" w:rsidP="000C44DC">
            <w:pPr>
              <w:jc w:val="center"/>
              <w:rPr>
                <w:rFonts w:asciiTheme="minorHAnsi" w:hAnsiTheme="minorHAnsi"/>
              </w:rPr>
            </w:pPr>
            <w:r w:rsidRPr="000C44DC">
              <w:rPr>
                <w:rFonts w:asciiTheme="minorHAnsi" w:hAnsiTheme="minorHAnsi"/>
              </w:rPr>
              <w:sym w:font="Wingdings" w:char="F0FC"/>
            </w:r>
          </w:p>
        </w:tc>
      </w:tr>
      <w:tr w:rsidR="000C44DC" w:rsidRPr="000C44DC" w14:paraId="51BE5FE8" w14:textId="77777777" w:rsidTr="000C44DC">
        <w:trPr>
          <w:cantSplit/>
          <w:trHeight w:val="515"/>
        </w:trPr>
        <w:tc>
          <w:tcPr>
            <w:tcW w:w="1526" w:type="dxa"/>
            <w:shd w:val="clear" w:color="auto" w:fill="BFBFBF" w:themeFill="background1" w:themeFillShade="BF"/>
            <w:vAlign w:val="center"/>
          </w:tcPr>
          <w:p w14:paraId="0E154835" w14:textId="77777777" w:rsidR="000C44DC" w:rsidRPr="000C44DC" w:rsidRDefault="000C44DC" w:rsidP="000C44DC">
            <w:pPr>
              <w:rPr>
                <w:rFonts w:asciiTheme="minorHAnsi" w:hAnsiTheme="minorHAnsi"/>
                <w:b/>
              </w:rPr>
            </w:pPr>
            <w:r w:rsidRPr="000C44DC">
              <w:rPr>
                <w:rFonts w:asciiTheme="minorHAnsi" w:hAnsiTheme="minorHAnsi"/>
                <w:b/>
              </w:rPr>
              <w:t>Inshore &amp; Coastal</w:t>
            </w:r>
          </w:p>
          <w:p w14:paraId="617FDC50" w14:textId="3D5DE8E2" w:rsidR="000C44DC" w:rsidRPr="000C44DC" w:rsidRDefault="000C44DC" w:rsidP="000C44DC">
            <w:pPr>
              <w:rPr>
                <w:rFonts w:asciiTheme="minorHAnsi" w:hAnsiTheme="minorHAnsi"/>
                <w:b/>
              </w:rPr>
            </w:pPr>
            <w:r w:rsidRPr="000C44DC">
              <w:rPr>
                <w:rFonts w:asciiTheme="minorHAnsi" w:hAnsiTheme="minorHAnsi"/>
                <w:b/>
              </w:rPr>
              <w:t xml:space="preserve">(4 - 20km </w:t>
            </w:r>
            <w:r w:rsidR="008C5230">
              <w:rPr>
                <w:rFonts w:asciiTheme="minorHAnsi" w:hAnsiTheme="minorHAnsi"/>
                <w:b/>
              </w:rPr>
              <w:t>off-shore</w:t>
            </w:r>
            <w:r w:rsidRPr="000C44DC">
              <w:rPr>
                <w:rFonts w:asciiTheme="minorHAnsi" w:hAnsiTheme="minorHAnsi"/>
                <w:b/>
              </w:rPr>
              <w:t>)</w:t>
            </w:r>
          </w:p>
        </w:tc>
        <w:tc>
          <w:tcPr>
            <w:tcW w:w="1701" w:type="dxa"/>
            <w:vAlign w:val="center"/>
          </w:tcPr>
          <w:p w14:paraId="0133D8B6" w14:textId="77777777" w:rsidR="000C44DC" w:rsidRPr="000C44DC" w:rsidRDefault="000C44DC" w:rsidP="000C44DC">
            <w:pPr>
              <w:jc w:val="center"/>
              <w:rPr>
                <w:rFonts w:asciiTheme="minorHAnsi" w:hAnsiTheme="minorHAnsi"/>
              </w:rPr>
            </w:pPr>
            <w:r w:rsidRPr="000C44DC">
              <w:rPr>
                <w:rFonts w:asciiTheme="minorHAnsi" w:hAnsiTheme="minorHAnsi"/>
              </w:rPr>
              <w:sym w:font="Wingdings" w:char="F0FC"/>
            </w:r>
          </w:p>
        </w:tc>
        <w:tc>
          <w:tcPr>
            <w:tcW w:w="1701" w:type="dxa"/>
            <w:vAlign w:val="center"/>
          </w:tcPr>
          <w:p w14:paraId="3D0D63F5" w14:textId="77777777" w:rsidR="000C44DC" w:rsidRPr="000C44DC" w:rsidRDefault="000C44DC" w:rsidP="000C44DC">
            <w:pPr>
              <w:jc w:val="center"/>
              <w:rPr>
                <w:rFonts w:asciiTheme="minorHAnsi" w:hAnsiTheme="minorHAnsi"/>
              </w:rPr>
            </w:pPr>
            <w:r w:rsidRPr="000C44DC">
              <w:rPr>
                <w:rFonts w:asciiTheme="minorHAnsi" w:hAnsiTheme="minorHAnsi"/>
              </w:rPr>
              <w:sym w:font="Wingdings" w:char="F0FC"/>
            </w:r>
          </w:p>
        </w:tc>
        <w:tc>
          <w:tcPr>
            <w:tcW w:w="1701" w:type="dxa"/>
            <w:vAlign w:val="center"/>
          </w:tcPr>
          <w:p w14:paraId="45C07D6E" w14:textId="77777777" w:rsidR="000C44DC" w:rsidRPr="000C44DC" w:rsidRDefault="000C44DC" w:rsidP="000C44DC">
            <w:pPr>
              <w:jc w:val="center"/>
              <w:rPr>
                <w:rFonts w:asciiTheme="minorHAnsi" w:hAnsiTheme="minorHAnsi"/>
              </w:rPr>
            </w:pPr>
            <w:r w:rsidRPr="000C44DC">
              <w:rPr>
                <w:rFonts w:asciiTheme="minorHAnsi" w:hAnsiTheme="minorHAnsi"/>
              </w:rPr>
              <w:sym w:font="Wingdings" w:char="F0FC"/>
            </w:r>
          </w:p>
        </w:tc>
        <w:tc>
          <w:tcPr>
            <w:tcW w:w="1701" w:type="dxa"/>
            <w:vAlign w:val="center"/>
          </w:tcPr>
          <w:p w14:paraId="0498B896" w14:textId="77777777" w:rsidR="000C44DC" w:rsidRPr="000C44DC" w:rsidRDefault="000C44DC" w:rsidP="000C44DC">
            <w:pPr>
              <w:jc w:val="center"/>
              <w:rPr>
                <w:rFonts w:asciiTheme="minorHAnsi" w:hAnsiTheme="minorHAnsi"/>
              </w:rPr>
            </w:pPr>
            <w:r w:rsidRPr="000C44DC">
              <w:rPr>
                <w:rFonts w:asciiTheme="minorHAnsi" w:hAnsiTheme="minorHAnsi"/>
              </w:rPr>
              <w:sym w:font="Wingdings" w:char="F0FC"/>
            </w:r>
          </w:p>
        </w:tc>
        <w:tc>
          <w:tcPr>
            <w:tcW w:w="1701" w:type="dxa"/>
            <w:vAlign w:val="center"/>
          </w:tcPr>
          <w:p w14:paraId="71EDFAE0" w14:textId="77777777" w:rsidR="000C44DC" w:rsidRPr="000C44DC" w:rsidRDefault="000C44DC" w:rsidP="000C44DC">
            <w:pPr>
              <w:jc w:val="center"/>
              <w:rPr>
                <w:rFonts w:asciiTheme="minorHAnsi" w:hAnsiTheme="minorHAnsi"/>
              </w:rPr>
            </w:pPr>
            <w:r w:rsidRPr="000C44DC">
              <w:rPr>
                <w:rFonts w:asciiTheme="minorHAnsi" w:hAnsiTheme="minorHAnsi"/>
              </w:rPr>
              <w:sym w:font="Wingdings" w:char="F0FC"/>
            </w:r>
          </w:p>
        </w:tc>
      </w:tr>
      <w:tr w:rsidR="000C44DC" w:rsidRPr="000C44DC" w14:paraId="7197A241" w14:textId="77777777" w:rsidTr="000C44DC">
        <w:trPr>
          <w:cantSplit/>
          <w:trHeight w:val="52"/>
        </w:trPr>
        <w:tc>
          <w:tcPr>
            <w:tcW w:w="1526" w:type="dxa"/>
            <w:shd w:val="clear" w:color="auto" w:fill="BFBFBF" w:themeFill="background1" w:themeFillShade="BF"/>
            <w:vAlign w:val="center"/>
          </w:tcPr>
          <w:p w14:paraId="0F721CED" w14:textId="063C87E1" w:rsidR="000C44DC" w:rsidRPr="000C44DC" w:rsidRDefault="008C5230" w:rsidP="000C44DC">
            <w:pPr>
              <w:rPr>
                <w:rFonts w:asciiTheme="minorHAnsi" w:hAnsiTheme="minorHAnsi"/>
                <w:b/>
              </w:rPr>
            </w:pPr>
            <w:r>
              <w:rPr>
                <w:rFonts w:asciiTheme="minorHAnsi" w:hAnsiTheme="minorHAnsi"/>
                <w:b/>
              </w:rPr>
              <w:t>Off-shore</w:t>
            </w:r>
          </w:p>
          <w:p w14:paraId="27CC7B2D" w14:textId="77777777" w:rsidR="000C44DC" w:rsidRPr="000C44DC" w:rsidRDefault="000C44DC" w:rsidP="000C44DC">
            <w:pPr>
              <w:rPr>
                <w:rFonts w:asciiTheme="minorHAnsi" w:hAnsiTheme="minorHAnsi"/>
                <w:b/>
              </w:rPr>
            </w:pPr>
            <w:r w:rsidRPr="000C44DC">
              <w:rPr>
                <w:rFonts w:asciiTheme="minorHAnsi" w:hAnsiTheme="minorHAnsi"/>
                <w:b/>
              </w:rPr>
              <w:t>(20-350km)</w:t>
            </w:r>
          </w:p>
        </w:tc>
        <w:tc>
          <w:tcPr>
            <w:tcW w:w="1701" w:type="dxa"/>
            <w:vAlign w:val="center"/>
          </w:tcPr>
          <w:p w14:paraId="6A9E4756" w14:textId="77777777" w:rsidR="000C44DC" w:rsidRPr="000C44DC" w:rsidRDefault="000C44DC" w:rsidP="000C44DC">
            <w:pPr>
              <w:jc w:val="center"/>
              <w:rPr>
                <w:rFonts w:asciiTheme="minorHAnsi" w:hAnsiTheme="minorHAnsi"/>
              </w:rPr>
            </w:pPr>
            <w:r w:rsidRPr="000C44DC">
              <w:rPr>
                <w:rFonts w:asciiTheme="minorHAnsi" w:hAnsiTheme="minorHAnsi"/>
              </w:rPr>
              <w:sym w:font="Wingdings" w:char="F0FC"/>
            </w:r>
          </w:p>
        </w:tc>
        <w:tc>
          <w:tcPr>
            <w:tcW w:w="1701" w:type="dxa"/>
            <w:vAlign w:val="center"/>
          </w:tcPr>
          <w:p w14:paraId="55238DDA" w14:textId="77777777" w:rsidR="000C44DC" w:rsidRPr="000C44DC" w:rsidRDefault="000C44DC" w:rsidP="000C44DC">
            <w:pPr>
              <w:jc w:val="center"/>
              <w:rPr>
                <w:rFonts w:asciiTheme="minorHAnsi" w:hAnsiTheme="minorHAnsi"/>
              </w:rPr>
            </w:pPr>
            <w:r w:rsidRPr="000C44DC">
              <w:rPr>
                <w:rFonts w:asciiTheme="minorHAnsi" w:hAnsiTheme="minorHAnsi"/>
              </w:rPr>
              <w:sym w:font="Wingdings" w:char="F0FC"/>
            </w:r>
          </w:p>
        </w:tc>
        <w:tc>
          <w:tcPr>
            <w:tcW w:w="1701" w:type="dxa"/>
            <w:vAlign w:val="center"/>
          </w:tcPr>
          <w:p w14:paraId="5005B558" w14:textId="77777777" w:rsidR="000C44DC" w:rsidRPr="000C44DC" w:rsidRDefault="000C44DC" w:rsidP="000C44DC">
            <w:pPr>
              <w:jc w:val="center"/>
              <w:rPr>
                <w:rFonts w:asciiTheme="minorHAnsi" w:hAnsiTheme="minorHAnsi"/>
              </w:rPr>
            </w:pPr>
            <w:r w:rsidRPr="000C44DC">
              <w:rPr>
                <w:rFonts w:asciiTheme="minorHAnsi" w:hAnsiTheme="minorHAnsi"/>
              </w:rPr>
              <w:sym w:font="Wingdings" w:char="F0FC"/>
            </w:r>
          </w:p>
        </w:tc>
        <w:tc>
          <w:tcPr>
            <w:tcW w:w="1701" w:type="dxa"/>
            <w:vAlign w:val="center"/>
          </w:tcPr>
          <w:p w14:paraId="060ABFF2" w14:textId="77777777" w:rsidR="000C44DC" w:rsidRPr="000C44DC" w:rsidRDefault="000C44DC" w:rsidP="000C44DC">
            <w:pPr>
              <w:jc w:val="center"/>
              <w:rPr>
                <w:rFonts w:asciiTheme="minorHAnsi" w:hAnsiTheme="minorHAnsi"/>
              </w:rPr>
            </w:pPr>
            <w:r w:rsidRPr="000C44DC">
              <w:rPr>
                <w:rFonts w:asciiTheme="minorHAnsi" w:hAnsiTheme="minorHAnsi"/>
              </w:rPr>
              <w:sym w:font="Wingdings" w:char="F0FC"/>
            </w:r>
          </w:p>
        </w:tc>
        <w:tc>
          <w:tcPr>
            <w:tcW w:w="1701" w:type="dxa"/>
            <w:vAlign w:val="center"/>
          </w:tcPr>
          <w:p w14:paraId="65726B9F" w14:textId="77777777" w:rsidR="000C44DC" w:rsidRPr="000C44DC" w:rsidRDefault="000C44DC" w:rsidP="000C44DC">
            <w:pPr>
              <w:jc w:val="center"/>
              <w:rPr>
                <w:rFonts w:asciiTheme="minorHAnsi" w:hAnsiTheme="minorHAnsi"/>
              </w:rPr>
            </w:pPr>
            <w:r w:rsidRPr="000C44DC">
              <w:rPr>
                <w:rFonts w:asciiTheme="minorHAnsi" w:hAnsiTheme="minorHAnsi"/>
              </w:rPr>
              <w:sym w:font="Wingdings" w:char="F0FC"/>
            </w:r>
          </w:p>
        </w:tc>
      </w:tr>
      <w:tr w:rsidR="000C44DC" w:rsidRPr="000C44DC" w14:paraId="407A4D01" w14:textId="77777777" w:rsidTr="000C44DC">
        <w:trPr>
          <w:cantSplit/>
          <w:trHeight w:val="666"/>
        </w:trPr>
        <w:tc>
          <w:tcPr>
            <w:tcW w:w="1526" w:type="dxa"/>
            <w:shd w:val="clear" w:color="auto" w:fill="BFBFBF" w:themeFill="background1" w:themeFillShade="BF"/>
            <w:vAlign w:val="center"/>
          </w:tcPr>
          <w:p w14:paraId="61387C3E" w14:textId="2F499388" w:rsidR="000C44DC" w:rsidRPr="000C44DC" w:rsidRDefault="008C5230" w:rsidP="000C44DC">
            <w:pPr>
              <w:rPr>
                <w:rFonts w:asciiTheme="minorHAnsi" w:hAnsiTheme="minorHAnsi"/>
                <w:b/>
              </w:rPr>
            </w:pPr>
            <w:r>
              <w:rPr>
                <w:rFonts w:asciiTheme="minorHAnsi" w:hAnsiTheme="minorHAnsi"/>
                <w:b/>
              </w:rPr>
              <w:t>Off-shore</w:t>
            </w:r>
          </w:p>
          <w:p w14:paraId="4F032E44" w14:textId="77777777" w:rsidR="000C44DC" w:rsidRPr="000C44DC" w:rsidRDefault="000C44DC" w:rsidP="000C44DC">
            <w:pPr>
              <w:rPr>
                <w:rFonts w:asciiTheme="minorHAnsi" w:hAnsiTheme="minorHAnsi"/>
                <w:b/>
              </w:rPr>
            </w:pPr>
            <w:r w:rsidRPr="000C44DC">
              <w:rPr>
                <w:rFonts w:asciiTheme="minorHAnsi" w:hAnsiTheme="minorHAnsi"/>
                <w:b/>
              </w:rPr>
              <w:t>(350-2000km)</w:t>
            </w:r>
          </w:p>
        </w:tc>
        <w:tc>
          <w:tcPr>
            <w:tcW w:w="1701" w:type="dxa"/>
            <w:vAlign w:val="center"/>
          </w:tcPr>
          <w:p w14:paraId="4812B514" w14:textId="77777777" w:rsidR="000C44DC" w:rsidRPr="000C44DC" w:rsidRDefault="000C44DC" w:rsidP="000C44DC">
            <w:pPr>
              <w:jc w:val="center"/>
              <w:rPr>
                <w:rFonts w:asciiTheme="minorHAnsi" w:hAnsiTheme="minorHAnsi"/>
              </w:rPr>
            </w:pPr>
            <w:r w:rsidRPr="000C44DC">
              <w:rPr>
                <w:rFonts w:asciiTheme="minorHAnsi" w:hAnsiTheme="minorHAnsi"/>
              </w:rPr>
              <w:sym w:font="Wingdings" w:char="F0FC"/>
            </w:r>
          </w:p>
        </w:tc>
        <w:tc>
          <w:tcPr>
            <w:tcW w:w="1701" w:type="dxa"/>
            <w:vAlign w:val="center"/>
          </w:tcPr>
          <w:p w14:paraId="10B999F5" w14:textId="77777777" w:rsidR="000C44DC" w:rsidRPr="000C44DC" w:rsidRDefault="000C44DC" w:rsidP="000C44DC">
            <w:pPr>
              <w:jc w:val="center"/>
              <w:rPr>
                <w:rFonts w:asciiTheme="minorHAnsi" w:hAnsiTheme="minorHAnsi"/>
              </w:rPr>
            </w:pPr>
            <w:r w:rsidRPr="000C44DC">
              <w:rPr>
                <w:rFonts w:asciiTheme="minorHAnsi" w:hAnsiTheme="minorHAnsi"/>
              </w:rPr>
              <w:sym w:font="Wingdings" w:char="F0FC"/>
            </w:r>
          </w:p>
        </w:tc>
        <w:tc>
          <w:tcPr>
            <w:tcW w:w="1701" w:type="dxa"/>
            <w:vAlign w:val="center"/>
          </w:tcPr>
          <w:p w14:paraId="3B540FBD" w14:textId="77777777" w:rsidR="000C44DC" w:rsidRPr="000C44DC" w:rsidRDefault="000C44DC" w:rsidP="000C44DC">
            <w:pPr>
              <w:jc w:val="center"/>
              <w:rPr>
                <w:rFonts w:asciiTheme="minorHAnsi" w:hAnsiTheme="minorHAnsi"/>
              </w:rPr>
            </w:pPr>
            <w:r w:rsidRPr="000C44DC">
              <w:rPr>
                <w:rFonts w:asciiTheme="minorHAnsi" w:hAnsiTheme="minorHAnsi"/>
              </w:rPr>
              <w:sym w:font="Wingdings" w:char="F0FB"/>
            </w:r>
          </w:p>
        </w:tc>
        <w:tc>
          <w:tcPr>
            <w:tcW w:w="1701" w:type="dxa"/>
            <w:vAlign w:val="center"/>
          </w:tcPr>
          <w:p w14:paraId="22ECA74B" w14:textId="77777777" w:rsidR="000C44DC" w:rsidRPr="000C44DC" w:rsidRDefault="000C44DC" w:rsidP="000C44DC">
            <w:pPr>
              <w:jc w:val="center"/>
              <w:rPr>
                <w:rFonts w:asciiTheme="minorHAnsi" w:hAnsiTheme="minorHAnsi"/>
              </w:rPr>
            </w:pPr>
            <w:r w:rsidRPr="000C44DC">
              <w:rPr>
                <w:rFonts w:asciiTheme="minorHAnsi" w:hAnsiTheme="minorHAnsi"/>
              </w:rPr>
              <w:sym w:font="Wingdings" w:char="F0FC"/>
            </w:r>
          </w:p>
        </w:tc>
        <w:tc>
          <w:tcPr>
            <w:tcW w:w="1701" w:type="dxa"/>
            <w:vAlign w:val="center"/>
          </w:tcPr>
          <w:p w14:paraId="6BDAB5B8" w14:textId="77777777" w:rsidR="000C44DC" w:rsidRPr="000C44DC" w:rsidRDefault="000C44DC" w:rsidP="000C44DC">
            <w:pPr>
              <w:jc w:val="center"/>
              <w:rPr>
                <w:rFonts w:asciiTheme="minorHAnsi" w:hAnsiTheme="minorHAnsi"/>
              </w:rPr>
            </w:pPr>
            <w:r w:rsidRPr="000C44DC">
              <w:rPr>
                <w:rFonts w:asciiTheme="minorHAnsi" w:hAnsiTheme="minorHAnsi"/>
              </w:rPr>
              <w:sym w:font="Wingdings" w:char="F0FC"/>
            </w:r>
          </w:p>
        </w:tc>
      </w:tr>
      <w:tr w:rsidR="000C44DC" w:rsidRPr="000C44DC" w14:paraId="413C07C6" w14:textId="77777777" w:rsidTr="000C44DC">
        <w:trPr>
          <w:cantSplit/>
          <w:trHeight w:val="519"/>
        </w:trPr>
        <w:tc>
          <w:tcPr>
            <w:tcW w:w="1526" w:type="dxa"/>
            <w:shd w:val="clear" w:color="auto" w:fill="BFBFBF" w:themeFill="background1" w:themeFillShade="BF"/>
            <w:vAlign w:val="center"/>
          </w:tcPr>
          <w:p w14:paraId="2EE8EE44" w14:textId="77777777" w:rsidR="000C44DC" w:rsidRPr="000C44DC" w:rsidRDefault="000C44DC" w:rsidP="000C44DC">
            <w:pPr>
              <w:rPr>
                <w:rFonts w:asciiTheme="minorHAnsi" w:hAnsiTheme="minorHAnsi"/>
                <w:b/>
              </w:rPr>
            </w:pPr>
            <w:r w:rsidRPr="000C44DC">
              <w:rPr>
                <w:rFonts w:asciiTheme="minorHAnsi" w:hAnsiTheme="minorHAnsi"/>
                <w:b/>
              </w:rPr>
              <w:t>Oceanic</w:t>
            </w:r>
          </w:p>
        </w:tc>
        <w:tc>
          <w:tcPr>
            <w:tcW w:w="1701" w:type="dxa"/>
            <w:vAlign w:val="center"/>
          </w:tcPr>
          <w:p w14:paraId="39096472" w14:textId="77777777" w:rsidR="000C44DC" w:rsidRPr="000C44DC" w:rsidRDefault="000C44DC" w:rsidP="000C44DC">
            <w:pPr>
              <w:jc w:val="center"/>
              <w:rPr>
                <w:rFonts w:asciiTheme="minorHAnsi" w:hAnsiTheme="minorHAnsi"/>
              </w:rPr>
            </w:pPr>
            <w:r w:rsidRPr="000C44DC">
              <w:rPr>
                <w:rFonts w:asciiTheme="minorHAnsi" w:hAnsiTheme="minorHAnsi"/>
              </w:rPr>
              <w:sym w:font="Wingdings" w:char="F0FC"/>
            </w:r>
          </w:p>
        </w:tc>
        <w:tc>
          <w:tcPr>
            <w:tcW w:w="1701" w:type="dxa"/>
            <w:vAlign w:val="center"/>
          </w:tcPr>
          <w:p w14:paraId="385F36AA" w14:textId="77777777" w:rsidR="000C44DC" w:rsidRPr="000C44DC" w:rsidRDefault="000C44DC" w:rsidP="000C44DC">
            <w:pPr>
              <w:jc w:val="center"/>
              <w:rPr>
                <w:rFonts w:asciiTheme="minorHAnsi" w:hAnsiTheme="minorHAnsi"/>
              </w:rPr>
            </w:pPr>
            <w:r w:rsidRPr="000C44DC">
              <w:rPr>
                <w:rFonts w:asciiTheme="minorHAnsi" w:hAnsiTheme="minorHAnsi"/>
              </w:rPr>
              <w:t>(*)</w:t>
            </w:r>
          </w:p>
        </w:tc>
        <w:tc>
          <w:tcPr>
            <w:tcW w:w="1701" w:type="dxa"/>
            <w:vAlign w:val="center"/>
          </w:tcPr>
          <w:p w14:paraId="37C0FC03" w14:textId="77777777" w:rsidR="000C44DC" w:rsidRPr="000C44DC" w:rsidRDefault="000C44DC" w:rsidP="000C44DC">
            <w:pPr>
              <w:jc w:val="center"/>
              <w:rPr>
                <w:rFonts w:asciiTheme="minorHAnsi" w:hAnsiTheme="minorHAnsi"/>
              </w:rPr>
            </w:pPr>
            <w:r w:rsidRPr="000C44DC">
              <w:rPr>
                <w:rFonts w:asciiTheme="minorHAnsi" w:hAnsiTheme="minorHAnsi"/>
              </w:rPr>
              <w:sym w:font="Wingdings" w:char="F0FB"/>
            </w:r>
          </w:p>
        </w:tc>
        <w:tc>
          <w:tcPr>
            <w:tcW w:w="1701" w:type="dxa"/>
            <w:vAlign w:val="center"/>
          </w:tcPr>
          <w:p w14:paraId="0190DA48" w14:textId="77777777" w:rsidR="000C44DC" w:rsidRPr="000C44DC" w:rsidRDefault="000C44DC" w:rsidP="000C44DC">
            <w:pPr>
              <w:jc w:val="center"/>
              <w:rPr>
                <w:rFonts w:asciiTheme="minorHAnsi" w:hAnsiTheme="minorHAnsi"/>
              </w:rPr>
            </w:pPr>
            <w:r w:rsidRPr="000C44DC">
              <w:rPr>
                <w:rFonts w:asciiTheme="minorHAnsi" w:hAnsiTheme="minorHAnsi"/>
              </w:rPr>
              <w:sym w:font="Wingdings" w:char="F0FB"/>
            </w:r>
          </w:p>
        </w:tc>
        <w:tc>
          <w:tcPr>
            <w:tcW w:w="1701" w:type="dxa"/>
            <w:vAlign w:val="center"/>
          </w:tcPr>
          <w:p w14:paraId="2D12B1CE" w14:textId="77777777" w:rsidR="000C44DC" w:rsidRPr="000C44DC" w:rsidRDefault="000C44DC" w:rsidP="000C44DC">
            <w:pPr>
              <w:jc w:val="center"/>
              <w:rPr>
                <w:rFonts w:asciiTheme="minorHAnsi" w:hAnsiTheme="minorHAnsi"/>
              </w:rPr>
            </w:pPr>
            <w:r w:rsidRPr="000C44DC">
              <w:rPr>
                <w:rFonts w:asciiTheme="minorHAnsi" w:hAnsiTheme="minorHAnsi"/>
              </w:rPr>
              <w:sym w:font="Wingdings" w:char="F0FC"/>
            </w:r>
          </w:p>
        </w:tc>
      </w:tr>
      <w:tr w:rsidR="000C44DC" w:rsidRPr="000C44DC" w14:paraId="239207B4" w14:textId="77777777" w:rsidTr="000C44DC">
        <w:trPr>
          <w:cantSplit/>
          <w:trHeight w:val="555"/>
        </w:trPr>
        <w:tc>
          <w:tcPr>
            <w:tcW w:w="1526" w:type="dxa"/>
            <w:shd w:val="clear" w:color="auto" w:fill="BFBFBF" w:themeFill="background1" w:themeFillShade="BF"/>
            <w:vAlign w:val="center"/>
          </w:tcPr>
          <w:p w14:paraId="37031767" w14:textId="77777777" w:rsidR="000C44DC" w:rsidRPr="000C44DC" w:rsidRDefault="000C44DC" w:rsidP="000C44DC">
            <w:pPr>
              <w:rPr>
                <w:rFonts w:asciiTheme="minorHAnsi" w:hAnsiTheme="minorHAnsi"/>
                <w:b/>
              </w:rPr>
            </w:pPr>
            <w:r w:rsidRPr="000C44DC">
              <w:rPr>
                <w:rFonts w:asciiTheme="minorHAnsi" w:hAnsiTheme="minorHAnsi"/>
                <w:b/>
              </w:rPr>
              <w:t>&gt;76°N/S latitude</w:t>
            </w:r>
          </w:p>
        </w:tc>
        <w:tc>
          <w:tcPr>
            <w:tcW w:w="1701" w:type="dxa"/>
            <w:vAlign w:val="center"/>
          </w:tcPr>
          <w:p w14:paraId="0CA58BC2" w14:textId="77777777" w:rsidR="000C44DC" w:rsidRPr="000C44DC" w:rsidRDefault="000C44DC" w:rsidP="000C44DC">
            <w:pPr>
              <w:jc w:val="center"/>
              <w:rPr>
                <w:rFonts w:asciiTheme="minorHAnsi" w:hAnsiTheme="minorHAnsi"/>
              </w:rPr>
            </w:pPr>
            <w:r w:rsidRPr="000C44DC">
              <w:rPr>
                <w:rFonts w:asciiTheme="minorHAnsi" w:hAnsiTheme="minorHAnsi"/>
              </w:rPr>
              <w:sym w:font="Wingdings" w:char="F0FC"/>
            </w:r>
          </w:p>
        </w:tc>
        <w:tc>
          <w:tcPr>
            <w:tcW w:w="1701" w:type="dxa"/>
            <w:vAlign w:val="center"/>
          </w:tcPr>
          <w:p w14:paraId="45EF53F0" w14:textId="77777777" w:rsidR="000C44DC" w:rsidRPr="000C44DC" w:rsidRDefault="000C44DC" w:rsidP="000C44DC">
            <w:pPr>
              <w:jc w:val="center"/>
              <w:rPr>
                <w:rFonts w:asciiTheme="minorHAnsi" w:hAnsiTheme="minorHAnsi"/>
              </w:rPr>
            </w:pPr>
            <w:r w:rsidRPr="000C44DC">
              <w:rPr>
                <w:rFonts w:asciiTheme="minorHAnsi" w:hAnsiTheme="minorHAnsi"/>
              </w:rPr>
              <w:sym w:font="Wingdings" w:char="F0FB"/>
            </w:r>
          </w:p>
        </w:tc>
        <w:tc>
          <w:tcPr>
            <w:tcW w:w="1701" w:type="dxa"/>
            <w:vAlign w:val="center"/>
          </w:tcPr>
          <w:p w14:paraId="0973FC73" w14:textId="77777777" w:rsidR="000C44DC" w:rsidRPr="000C44DC" w:rsidRDefault="000C44DC" w:rsidP="000C44DC">
            <w:pPr>
              <w:jc w:val="center"/>
              <w:rPr>
                <w:rFonts w:asciiTheme="minorHAnsi" w:hAnsiTheme="minorHAnsi"/>
              </w:rPr>
            </w:pPr>
            <w:r w:rsidRPr="000C44DC">
              <w:rPr>
                <w:rFonts w:asciiTheme="minorHAnsi" w:hAnsiTheme="minorHAnsi"/>
              </w:rPr>
              <w:sym w:font="Wingdings" w:char="F0FB"/>
            </w:r>
          </w:p>
        </w:tc>
        <w:tc>
          <w:tcPr>
            <w:tcW w:w="1701" w:type="dxa"/>
            <w:vAlign w:val="center"/>
          </w:tcPr>
          <w:p w14:paraId="41A88E96" w14:textId="77777777" w:rsidR="000C44DC" w:rsidRPr="000C44DC" w:rsidRDefault="000C44DC" w:rsidP="000C44DC">
            <w:pPr>
              <w:jc w:val="center"/>
              <w:rPr>
                <w:rFonts w:asciiTheme="minorHAnsi" w:hAnsiTheme="minorHAnsi"/>
              </w:rPr>
            </w:pPr>
            <w:r w:rsidRPr="000C44DC">
              <w:rPr>
                <w:rFonts w:asciiTheme="minorHAnsi" w:hAnsiTheme="minorHAnsi"/>
              </w:rPr>
              <w:sym w:font="Wingdings" w:char="F0FB"/>
            </w:r>
          </w:p>
        </w:tc>
        <w:tc>
          <w:tcPr>
            <w:tcW w:w="1701" w:type="dxa"/>
            <w:vAlign w:val="center"/>
          </w:tcPr>
          <w:p w14:paraId="7A72DCEA" w14:textId="77777777" w:rsidR="000C44DC" w:rsidRPr="000C44DC" w:rsidRDefault="000C44DC" w:rsidP="000C44DC">
            <w:pPr>
              <w:jc w:val="center"/>
              <w:rPr>
                <w:rFonts w:asciiTheme="minorHAnsi" w:hAnsiTheme="minorHAnsi"/>
              </w:rPr>
            </w:pPr>
            <w:r w:rsidRPr="000C44DC">
              <w:rPr>
                <w:rFonts w:asciiTheme="minorHAnsi" w:hAnsiTheme="minorHAnsi"/>
              </w:rPr>
              <w:t>(*)</w:t>
            </w:r>
          </w:p>
        </w:tc>
      </w:tr>
    </w:tbl>
    <w:p w14:paraId="533402D6" w14:textId="4ADD86B6" w:rsidR="000C44DC" w:rsidRPr="000C44DC" w:rsidRDefault="004B4CD9" w:rsidP="000C44DC">
      <w:pPr>
        <w:rPr>
          <w:rFonts w:asciiTheme="minorHAnsi" w:hAnsiTheme="minorHAnsi"/>
        </w:rPr>
      </w:pPr>
      <w:r w:rsidRPr="000C44DC">
        <w:rPr>
          <w:rFonts w:asciiTheme="minorHAnsi" w:hAnsiTheme="minorHAnsi"/>
        </w:rPr>
        <w:t xml:space="preserve"> </w:t>
      </w:r>
      <w:r w:rsidR="000C44DC" w:rsidRPr="000C44DC">
        <w:rPr>
          <w:rFonts w:asciiTheme="minorHAnsi" w:hAnsiTheme="minorHAnsi"/>
        </w:rPr>
        <w:t>(*) Partially</w:t>
      </w:r>
    </w:p>
    <w:p w14:paraId="28452589" w14:textId="77777777" w:rsidR="000C44DC" w:rsidRPr="000F0554" w:rsidRDefault="000C44DC" w:rsidP="00BB37A7">
      <w:pPr>
        <w:pStyle w:val="BodyText"/>
      </w:pPr>
    </w:p>
    <w:p w14:paraId="1CCE31B6" w14:textId="2740ED82" w:rsidR="000F0554" w:rsidRPr="00E34581" w:rsidRDefault="00177AC2" w:rsidP="00E34581">
      <w:pPr>
        <w:pStyle w:val="Heading2"/>
      </w:pPr>
      <w:r>
        <w:t xml:space="preserve">GNSS </w:t>
      </w:r>
      <w:r w:rsidR="000F0554" w:rsidRPr="00E34581">
        <w:t>Positioning services</w:t>
      </w:r>
    </w:p>
    <w:p w14:paraId="6DE3AD1F" w14:textId="00E45D96" w:rsidR="00435AB0" w:rsidRDefault="000F0554" w:rsidP="000F0554">
      <w:pPr>
        <w:pStyle w:val="BodyText"/>
      </w:pPr>
      <w:r w:rsidRPr="004A6AB8">
        <w:t xml:space="preserve">Once an overview of the different </w:t>
      </w:r>
      <w:r w:rsidR="00177AC2">
        <w:t xml:space="preserve">GNSS </w:t>
      </w:r>
      <w:r w:rsidRPr="004A6AB8">
        <w:t xml:space="preserve">positioning techniques was available, the next step was the analysis of the positioning services (specific implementations of the underlying </w:t>
      </w:r>
      <w:r>
        <w:t xml:space="preserve">positioning </w:t>
      </w:r>
      <w:r w:rsidRPr="004A6AB8">
        <w:t xml:space="preserve">techniques) that could be selected by users from the </w:t>
      </w:r>
      <w:r w:rsidR="008C5230">
        <w:t>off-shore</w:t>
      </w:r>
      <w:r w:rsidRPr="004A6AB8">
        <w:t xml:space="preserve"> Oil &amp; Gas market. </w:t>
      </w:r>
      <w:r>
        <w:t>This analysis</w:t>
      </w:r>
      <w:r w:rsidRPr="004A6AB8">
        <w:t xml:space="preserve"> covered the existing services providing a detailed description of their features considering their architecture (ground and space segments), service levels, commercialisation scheme and service provision scheme. </w:t>
      </w:r>
    </w:p>
    <w:p w14:paraId="726568BF" w14:textId="2CE9623F" w:rsidR="00BD723D" w:rsidRPr="00E23553" w:rsidRDefault="00BD723D" w:rsidP="003E69E9">
      <w:pPr>
        <w:pStyle w:val="BodyText"/>
      </w:pPr>
      <w:r w:rsidRPr="00E23553">
        <w:t xml:space="preserve">A summary of the main features of </w:t>
      </w:r>
      <w:r w:rsidR="00177AC2">
        <w:t xml:space="preserve">GNSS </w:t>
      </w:r>
      <w:r w:rsidRPr="00E23553">
        <w:t xml:space="preserve">positioning services available in the </w:t>
      </w:r>
      <w:r w:rsidR="00435AB0" w:rsidRPr="00E23553">
        <w:t xml:space="preserve">off-shore </w:t>
      </w:r>
      <w:r w:rsidRPr="00E23553">
        <w:t>market today is provided hereafter</w:t>
      </w:r>
      <w:r w:rsidR="002C6FAA">
        <w:t xml:space="preserve"> (see </w:t>
      </w:r>
      <w:r w:rsidR="002C6FAA">
        <w:fldChar w:fldCharType="begin"/>
      </w:r>
      <w:r w:rsidR="002C6FAA">
        <w:instrText xml:space="preserve"> REF _Ref474838863 \r \h </w:instrText>
      </w:r>
      <w:r w:rsidR="002C6FAA">
        <w:fldChar w:fldCharType="separate"/>
      </w:r>
      <w:r w:rsidR="00D9725E">
        <w:t>Table 3</w:t>
      </w:r>
      <w:r w:rsidR="002C6FAA">
        <w:fldChar w:fldCharType="end"/>
      </w:r>
      <w:r w:rsidR="002C6FAA">
        <w:t>)</w:t>
      </w:r>
      <w:r w:rsidRPr="00E23553">
        <w:t>. It</w:t>
      </w:r>
      <w:r w:rsidR="00435AB0">
        <w:t xml:space="preserve"> is noted that EGNOS and IALA D</w:t>
      </w:r>
      <w:r w:rsidRPr="00E23553">
        <w:t>G</w:t>
      </w:r>
      <w:r w:rsidR="00435AB0">
        <w:t>N</w:t>
      </w:r>
      <w:r w:rsidRPr="00E23553">
        <w:t>SS transmit free-off-air GNSS corrections. However, Navcom, Veripos, Fugro and Hemisphere positioning are commercial services that require a subscription and the corresponding payment of a fee.</w:t>
      </w:r>
      <w:r w:rsidR="00435AB0" w:rsidRPr="00435AB0">
        <w:t xml:space="preserve"> </w:t>
      </w:r>
      <w:r w:rsidR="00435AB0" w:rsidRPr="004A6AB8">
        <w:t xml:space="preserve">Normally, these services are based on proprietary implementations of PPP and/or High accuracy DGNSS techniques, while free of charge services available for </w:t>
      </w:r>
      <w:r w:rsidR="008C5230">
        <w:t>off-shore</w:t>
      </w:r>
      <w:r w:rsidR="00435AB0" w:rsidRPr="004A6AB8">
        <w:t xml:space="preserve"> Oil &amp; Gas are based on SBAS or traditional DGNSS.</w:t>
      </w:r>
      <w:r w:rsidR="00177AC2">
        <w:t xml:space="preserve"> Positioning services based on PPP provide high accuracy, around 10-20 cm worldwide, with convergences times between 10 and 40 minutes.  On the other hand, positioning services based on </w:t>
      </w:r>
      <w:r w:rsidR="00177AC2" w:rsidRPr="004A6AB8">
        <w:t>High accuracy DGNSS</w:t>
      </w:r>
      <w:r w:rsidR="00177AC2">
        <w:t xml:space="preserve"> in most cases offer decimetre level accuracy, ensuring submetre accuracy up to distances of 1000 km from the reference station.</w:t>
      </w:r>
      <w:r w:rsidR="00435AB0" w:rsidRPr="004A6AB8">
        <w:t xml:space="preserve">   </w:t>
      </w:r>
    </w:p>
    <w:p w14:paraId="37704B1E" w14:textId="5F397085" w:rsidR="00BD723D" w:rsidRPr="00E23553" w:rsidRDefault="00BD723D" w:rsidP="00BD723D">
      <w:pPr>
        <w:pStyle w:val="BodyText"/>
      </w:pPr>
      <w:r w:rsidRPr="00E23553">
        <w:t>Thicker borders are used to group services which, despite havi</w:t>
      </w:r>
      <w:r w:rsidR="003E69E9">
        <w:t>ng different commercial names,</w:t>
      </w:r>
      <w:r w:rsidRPr="00E23553">
        <w:t xml:space="preserve"> are based on the same (or almost the same) infrastructure and principles and hence are almost equivalent from the technical point of view (ground infrastructure, performance, algorithms).</w:t>
      </w:r>
    </w:p>
    <w:p w14:paraId="2FBDE2FA" w14:textId="77777777" w:rsidR="002C6FAA" w:rsidRPr="007A395D" w:rsidRDefault="002C6FAA" w:rsidP="002C6FAA">
      <w:pPr>
        <w:pStyle w:val="BodyText"/>
      </w:pPr>
    </w:p>
    <w:p w14:paraId="65B70ED9" w14:textId="510A402B" w:rsidR="00BD723D" w:rsidRPr="00E23553" w:rsidRDefault="002C6FAA" w:rsidP="002C6FAA">
      <w:pPr>
        <w:pStyle w:val="Table"/>
      </w:pPr>
      <w:bookmarkStart w:id="7" w:name="_Ref474838863"/>
      <w:r w:rsidRPr="00E23553">
        <w:rPr>
          <w:szCs w:val="24"/>
        </w:rPr>
        <w:t xml:space="preserve">Summary of </w:t>
      </w:r>
      <w:r w:rsidR="00177AC2">
        <w:rPr>
          <w:szCs w:val="24"/>
        </w:rPr>
        <w:t xml:space="preserve">GNSS </w:t>
      </w:r>
      <w:r w:rsidRPr="00E23553">
        <w:rPr>
          <w:szCs w:val="24"/>
        </w:rPr>
        <w:t>positioning services for off-shore</w:t>
      </w:r>
      <w:bookmarkEnd w:id="7"/>
    </w:p>
    <w:tbl>
      <w:tblPr>
        <w:tblW w:w="2651"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firstRow="1" w:lastRow="0" w:firstColumn="1" w:lastColumn="0" w:noHBand="0" w:noVBand="1"/>
      </w:tblPr>
      <w:tblGrid>
        <w:gridCol w:w="2957"/>
        <w:gridCol w:w="2268"/>
      </w:tblGrid>
      <w:tr w:rsidR="00DF29A1" w:rsidRPr="00DF29A1" w14:paraId="533E359E" w14:textId="77777777" w:rsidTr="00DF29A1">
        <w:trPr>
          <w:cantSplit/>
          <w:trHeight w:val="512"/>
          <w:tblHeader/>
          <w:jc w:val="center"/>
        </w:trPr>
        <w:tc>
          <w:tcPr>
            <w:tcW w:w="2830" w:type="pct"/>
            <w:tcBorders>
              <w:top w:val="single" w:sz="18" w:space="0" w:color="auto"/>
              <w:left w:val="single" w:sz="18" w:space="0" w:color="auto"/>
              <w:bottom w:val="single" w:sz="18" w:space="0" w:color="auto"/>
            </w:tcBorders>
            <w:shd w:val="clear" w:color="auto" w:fill="0070C0"/>
            <w:vAlign w:val="center"/>
          </w:tcPr>
          <w:p w14:paraId="3AC19664" w14:textId="77777777" w:rsidR="00DF29A1" w:rsidRPr="00DF29A1" w:rsidRDefault="00DF29A1" w:rsidP="000C44DC">
            <w:pPr>
              <w:keepNext/>
              <w:jc w:val="center"/>
              <w:rPr>
                <w:rFonts w:asciiTheme="minorHAnsi" w:hAnsiTheme="minorHAnsi"/>
                <w:b/>
                <w:color w:val="FFFFFF" w:themeColor="background1"/>
              </w:rPr>
            </w:pPr>
            <w:bookmarkStart w:id="8" w:name="_Toc419880570"/>
            <w:bookmarkStart w:id="9" w:name="_Toc423513348"/>
            <w:r w:rsidRPr="00DF29A1">
              <w:rPr>
                <w:rFonts w:asciiTheme="minorHAnsi" w:hAnsiTheme="minorHAnsi"/>
                <w:b/>
                <w:color w:val="FFFFFF" w:themeColor="background1"/>
              </w:rPr>
              <w:t>Service</w:t>
            </w:r>
          </w:p>
        </w:tc>
        <w:tc>
          <w:tcPr>
            <w:tcW w:w="2170" w:type="pct"/>
            <w:tcBorders>
              <w:top w:val="single" w:sz="18" w:space="0" w:color="auto"/>
              <w:bottom w:val="single" w:sz="18" w:space="0" w:color="auto"/>
              <w:right w:val="single" w:sz="18" w:space="0" w:color="000000"/>
            </w:tcBorders>
            <w:shd w:val="clear" w:color="auto" w:fill="0070C0"/>
            <w:vAlign w:val="center"/>
          </w:tcPr>
          <w:p w14:paraId="2FB341F6" w14:textId="77777777" w:rsidR="00DF29A1" w:rsidRPr="00DF29A1" w:rsidRDefault="00DF29A1" w:rsidP="000C44DC">
            <w:pPr>
              <w:keepNext/>
              <w:jc w:val="center"/>
              <w:rPr>
                <w:rFonts w:asciiTheme="minorHAnsi" w:hAnsiTheme="minorHAnsi"/>
                <w:b/>
                <w:color w:val="FFFFFF" w:themeColor="background1"/>
              </w:rPr>
            </w:pPr>
            <w:r w:rsidRPr="00DF29A1">
              <w:rPr>
                <w:rFonts w:asciiTheme="minorHAnsi" w:hAnsiTheme="minorHAnsi"/>
                <w:b/>
                <w:color w:val="FFFFFF" w:themeColor="background1"/>
              </w:rPr>
              <w:t>Technique</w:t>
            </w:r>
          </w:p>
        </w:tc>
      </w:tr>
      <w:tr w:rsidR="00DF29A1" w:rsidRPr="00DF29A1" w14:paraId="32F6815D" w14:textId="77777777" w:rsidTr="00DF29A1">
        <w:trPr>
          <w:cantSplit/>
          <w:trHeight w:val="512"/>
          <w:jc w:val="center"/>
        </w:trPr>
        <w:tc>
          <w:tcPr>
            <w:tcW w:w="2830" w:type="pct"/>
            <w:tcBorders>
              <w:top w:val="single" w:sz="18" w:space="0" w:color="000000"/>
              <w:left w:val="single" w:sz="18" w:space="0" w:color="000000"/>
            </w:tcBorders>
            <w:shd w:val="clear" w:color="auto" w:fill="FFFF99"/>
            <w:vAlign w:val="center"/>
          </w:tcPr>
          <w:p w14:paraId="149BDA99" w14:textId="77777777" w:rsidR="00DF29A1" w:rsidRPr="00DF29A1" w:rsidRDefault="00DF29A1" w:rsidP="000C44DC">
            <w:pPr>
              <w:rPr>
                <w:rFonts w:asciiTheme="minorHAnsi" w:hAnsiTheme="minorHAnsi"/>
              </w:rPr>
            </w:pPr>
            <w:r w:rsidRPr="00DF29A1">
              <w:rPr>
                <w:rFonts w:asciiTheme="minorHAnsi" w:hAnsiTheme="minorHAnsi"/>
              </w:rPr>
              <w:t>EGNOS</w:t>
            </w:r>
          </w:p>
        </w:tc>
        <w:tc>
          <w:tcPr>
            <w:tcW w:w="2170" w:type="pct"/>
            <w:tcBorders>
              <w:top w:val="single" w:sz="18" w:space="0" w:color="000000"/>
              <w:right w:val="single" w:sz="18" w:space="0" w:color="000000"/>
            </w:tcBorders>
            <w:shd w:val="clear" w:color="auto" w:fill="FFFF99"/>
            <w:vAlign w:val="center"/>
          </w:tcPr>
          <w:p w14:paraId="3A1DDE26" w14:textId="77777777" w:rsidR="00DF29A1" w:rsidRPr="00DF29A1" w:rsidRDefault="00DF29A1" w:rsidP="000C44DC">
            <w:pPr>
              <w:rPr>
                <w:rFonts w:asciiTheme="minorHAnsi" w:hAnsiTheme="minorHAnsi"/>
              </w:rPr>
            </w:pPr>
            <w:r w:rsidRPr="00DF29A1">
              <w:rPr>
                <w:rFonts w:asciiTheme="minorHAnsi" w:hAnsiTheme="minorHAnsi"/>
              </w:rPr>
              <w:t>SBAS</w:t>
            </w:r>
          </w:p>
        </w:tc>
      </w:tr>
      <w:tr w:rsidR="00DF29A1" w:rsidRPr="00DF29A1" w14:paraId="64525558" w14:textId="77777777" w:rsidTr="00DF29A1">
        <w:trPr>
          <w:cantSplit/>
          <w:trHeight w:val="512"/>
          <w:jc w:val="center"/>
        </w:trPr>
        <w:tc>
          <w:tcPr>
            <w:tcW w:w="2830" w:type="pct"/>
            <w:tcBorders>
              <w:top w:val="single" w:sz="18" w:space="0" w:color="000000"/>
              <w:left w:val="single" w:sz="18" w:space="0" w:color="000000"/>
            </w:tcBorders>
            <w:shd w:val="clear" w:color="auto" w:fill="99FF99"/>
            <w:vAlign w:val="center"/>
          </w:tcPr>
          <w:p w14:paraId="35CD8E0C" w14:textId="77777777" w:rsidR="00DF29A1" w:rsidRPr="00DF29A1" w:rsidRDefault="00DF29A1" w:rsidP="000C44DC">
            <w:pPr>
              <w:rPr>
                <w:rFonts w:asciiTheme="minorHAnsi" w:hAnsiTheme="minorHAnsi"/>
              </w:rPr>
            </w:pPr>
            <w:r w:rsidRPr="00DF29A1">
              <w:rPr>
                <w:rFonts w:asciiTheme="minorHAnsi" w:hAnsiTheme="minorHAnsi"/>
              </w:rPr>
              <w:t>IALA DGNSS</w:t>
            </w:r>
          </w:p>
        </w:tc>
        <w:tc>
          <w:tcPr>
            <w:tcW w:w="2170" w:type="pct"/>
            <w:tcBorders>
              <w:top w:val="single" w:sz="18" w:space="0" w:color="000000"/>
              <w:right w:val="single" w:sz="18" w:space="0" w:color="000000"/>
            </w:tcBorders>
            <w:shd w:val="clear" w:color="auto" w:fill="99FF99"/>
            <w:vAlign w:val="center"/>
          </w:tcPr>
          <w:p w14:paraId="29CF4438" w14:textId="77777777" w:rsidR="00DF29A1" w:rsidRPr="00DF29A1" w:rsidRDefault="00DF29A1" w:rsidP="000C44DC">
            <w:pPr>
              <w:rPr>
                <w:rFonts w:asciiTheme="minorHAnsi" w:hAnsiTheme="minorHAnsi"/>
              </w:rPr>
            </w:pPr>
            <w:r w:rsidRPr="00DF29A1">
              <w:rPr>
                <w:rFonts w:asciiTheme="minorHAnsi" w:hAnsiTheme="minorHAnsi"/>
              </w:rPr>
              <w:t>DGNSS</w:t>
            </w:r>
          </w:p>
        </w:tc>
      </w:tr>
      <w:tr w:rsidR="00DF29A1" w:rsidRPr="00DF29A1" w14:paraId="04BD55F9" w14:textId="77777777" w:rsidTr="00DF29A1">
        <w:trPr>
          <w:cantSplit/>
          <w:trHeight w:val="512"/>
          <w:jc w:val="center"/>
        </w:trPr>
        <w:tc>
          <w:tcPr>
            <w:tcW w:w="2830" w:type="pct"/>
            <w:tcBorders>
              <w:top w:val="single" w:sz="18" w:space="0" w:color="auto"/>
              <w:left w:val="single" w:sz="18" w:space="0" w:color="000000"/>
            </w:tcBorders>
            <w:shd w:val="clear" w:color="auto" w:fill="EAF1DD" w:themeFill="accent3" w:themeFillTint="33"/>
            <w:vAlign w:val="center"/>
          </w:tcPr>
          <w:p w14:paraId="4D98881D" w14:textId="58FDAA6F" w:rsidR="00DF29A1" w:rsidRPr="00DF29A1" w:rsidRDefault="00DF29A1" w:rsidP="00DF29A1">
            <w:pPr>
              <w:keepNext/>
              <w:keepLines/>
              <w:rPr>
                <w:rFonts w:asciiTheme="minorHAnsi" w:hAnsiTheme="minorHAnsi"/>
              </w:rPr>
            </w:pPr>
            <w:r w:rsidRPr="00DF29A1">
              <w:rPr>
                <w:rFonts w:asciiTheme="minorHAnsi" w:hAnsiTheme="minorHAnsi"/>
              </w:rPr>
              <w:lastRenderedPageBreak/>
              <w:t>(Navcom)</w:t>
            </w:r>
            <w:r>
              <w:rPr>
                <w:rFonts w:asciiTheme="minorHAnsi" w:hAnsiTheme="minorHAnsi"/>
              </w:rPr>
              <w:t xml:space="preserve"> </w:t>
            </w:r>
            <w:r w:rsidRPr="00DF29A1">
              <w:rPr>
                <w:rFonts w:asciiTheme="minorHAnsi" w:hAnsiTheme="minorHAnsi"/>
              </w:rPr>
              <w:t xml:space="preserve">C-NavC1 </w:t>
            </w:r>
          </w:p>
        </w:tc>
        <w:tc>
          <w:tcPr>
            <w:tcW w:w="2170" w:type="pct"/>
            <w:tcBorders>
              <w:top w:val="single" w:sz="18" w:space="0" w:color="auto"/>
              <w:right w:val="single" w:sz="18" w:space="0" w:color="000000"/>
            </w:tcBorders>
            <w:shd w:val="clear" w:color="auto" w:fill="EAF1DD" w:themeFill="accent3" w:themeFillTint="33"/>
            <w:vAlign w:val="center"/>
          </w:tcPr>
          <w:p w14:paraId="6FAAAD2E" w14:textId="77777777" w:rsidR="00DF29A1" w:rsidRPr="00DF29A1" w:rsidRDefault="00DF29A1" w:rsidP="000C44DC">
            <w:pPr>
              <w:keepNext/>
              <w:keepLines/>
              <w:rPr>
                <w:rFonts w:asciiTheme="minorHAnsi" w:hAnsiTheme="minorHAnsi"/>
              </w:rPr>
            </w:pPr>
            <w:r w:rsidRPr="00DF29A1">
              <w:rPr>
                <w:rFonts w:asciiTheme="minorHAnsi" w:hAnsiTheme="minorHAnsi"/>
              </w:rPr>
              <w:t>PPP</w:t>
            </w:r>
          </w:p>
        </w:tc>
      </w:tr>
      <w:tr w:rsidR="00DF29A1" w:rsidRPr="00DF29A1" w14:paraId="5EBDFA2E" w14:textId="77777777" w:rsidTr="00DF29A1">
        <w:trPr>
          <w:cantSplit/>
          <w:trHeight w:val="512"/>
          <w:jc w:val="center"/>
        </w:trPr>
        <w:tc>
          <w:tcPr>
            <w:tcW w:w="2830" w:type="pct"/>
            <w:tcBorders>
              <w:left w:val="single" w:sz="18" w:space="0" w:color="000000"/>
            </w:tcBorders>
            <w:shd w:val="clear" w:color="auto" w:fill="EAF1DD" w:themeFill="accent3" w:themeFillTint="33"/>
            <w:vAlign w:val="center"/>
          </w:tcPr>
          <w:p w14:paraId="54EE6E38" w14:textId="41FBDCA7" w:rsidR="00DF29A1" w:rsidRPr="00DF29A1" w:rsidRDefault="00DF29A1" w:rsidP="00DF29A1">
            <w:pPr>
              <w:keepNext/>
              <w:keepLines/>
              <w:rPr>
                <w:rFonts w:asciiTheme="minorHAnsi" w:hAnsiTheme="minorHAnsi"/>
              </w:rPr>
            </w:pPr>
            <w:r w:rsidRPr="00DF29A1">
              <w:rPr>
                <w:rFonts w:asciiTheme="minorHAnsi" w:hAnsiTheme="minorHAnsi"/>
              </w:rPr>
              <w:t>(Navcom)</w:t>
            </w:r>
            <w:r>
              <w:rPr>
                <w:rFonts w:asciiTheme="minorHAnsi" w:hAnsiTheme="minorHAnsi"/>
              </w:rPr>
              <w:t xml:space="preserve"> </w:t>
            </w:r>
            <w:r w:rsidRPr="00DF29A1">
              <w:rPr>
                <w:rFonts w:asciiTheme="minorHAnsi" w:hAnsiTheme="minorHAnsi"/>
              </w:rPr>
              <w:t xml:space="preserve">C-NavC2 </w:t>
            </w:r>
          </w:p>
        </w:tc>
        <w:tc>
          <w:tcPr>
            <w:tcW w:w="2170" w:type="pct"/>
            <w:tcBorders>
              <w:right w:val="single" w:sz="18" w:space="0" w:color="000000"/>
            </w:tcBorders>
            <w:shd w:val="clear" w:color="auto" w:fill="EAF1DD" w:themeFill="accent3" w:themeFillTint="33"/>
            <w:vAlign w:val="center"/>
          </w:tcPr>
          <w:p w14:paraId="5A0738AD" w14:textId="77777777" w:rsidR="00DF29A1" w:rsidRPr="00DF29A1" w:rsidRDefault="00DF29A1" w:rsidP="000C44DC">
            <w:pPr>
              <w:keepNext/>
              <w:keepLines/>
              <w:rPr>
                <w:rFonts w:asciiTheme="minorHAnsi" w:hAnsiTheme="minorHAnsi"/>
              </w:rPr>
            </w:pPr>
            <w:r w:rsidRPr="00DF29A1">
              <w:rPr>
                <w:rFonts w:asciiTheme="minorHAnsi" w:hAnsiTheme="minorHAnsi"/>
              </w:rPr>
              <w:t>PPP</w:t>
            </w:r>
          </w:p>
        </w:tc>
      </w:tr>
      <w:tr w:rsidR="00DF29A1" w:rsidRPr="00DF29A1" w14:paraId="77192E97" w14:textId="77777777" w:rsidTr="00DF29A1">
        <w:trPr>
          <w:cantSplit/>
          <w:trHeight w:val="512"/>
          <w:jc w:val="center"/>
        </w:trPr>
        <w:tc>
          <w:tcPr>
            <w:tcW w:w="2830" w:type="pct"/>
            <w:tcBorders>
              <w:top w:val="single" w:sz="18" w:space="0" w:color="000000"/>
              <w:left w:val="single" w:sz="18" w:space="0" w:color="000000"/>
            </w:tcBorders>
            <w:shd w:val="clear" w:color="auto" w:fill="C6D9F1" w:themeFill="text2" w:themeFillTint="33"/>
            <w:vAlign w:val="center"/>
          </w:tcPr>
          <w:p w14:paraId="39339126" w14:textId="77777777" w:rsidR="00DF29A1" w:rsidRPr="00DF29A1" w:rsidRDefault="00DF29A1" w:rsidP="000C44DC">
            <w:pPr>
              <w:widowControl w:val="0"/>
              <w:rPr>
                <w:rFonts w:asciiTheme="minorHAnsi" w:hAnsiTheme="minorHAnsi"/>
              </w:rPr>
            </w:pPr>
            <w:r w:rsidRPr="00DF29A1">
              <w:rPr>
                <w:rFonts w:asciiTheme="minorHAnsi" w:hAnsiTheme="minorHAnsi"/>
              </w:rPr>
              <w:t>Veripos APEX</w:t>
            </w:r>
          </w:p>
        </w:tc>
        <w:tc>
          <w:tcPr>
            <w:tcW w:w="2170" w:type="pct"/>
            <w:vMerge w:val="restart"/>
            <w:tcBorders>
              <w:top w:val="single" w:sz="18" w:space="0" w:color="000000"/>
              <w:right w:val="single" w:sz="18" w:space="0" w:color="000000"/>
            </w:tcBorders>
            <w:shd w:val="clear" w:color="auto" w:fill="C6D9F1" w:themeFill="text2" w:themeFillTint="33"/>
            <w:vAlign w:val="center"/>
          </w:tcPr>
          <w:p w14:paraId="0A5441DD" w14:textId="77777777" w:rsidR="00DF29A1" w:rsidRPr="00DF29A1" w:rsidRDefault="00DF29A1" w:rsidP="000C44DC">
            <w:pPr>
              <w:widowControl w:val="0"/>
              <w:rPr>
                <w:rFonts w:asciiTheme="minorHAnsi" w:hAnsiTheme="minorHAnsi"/>
              </w:rPr>
            </w:pPr>
            <w:r w:rsidRPr="00DF29A1">
              <w:rPr>
                <w:rFonts w:asciiTheme="minorHAnsi" w:hAnsiTheme="minorHAnsi"/>
              </w:rPr>
              <w:t>PPP</w:t>
            </w:r>
          </w:p>
        </w:tc>
      </w:tr>
      <w:tr w:rsidR="00DF29A1" w:rsidRPr="00DF29A1" w14:paraId="49B359E1" w14:textId="77777777" w:rsidTr="00DF29A1">
        <w:trPr>
          <w:cantSplit/>
          <w:trHeight w:val="512"/>
          <w:jc w:val="center"/>
        </w:trPr>
        <w:tc>
          <w:tcPr>
            <w:tcW w:w="2830" w:type="pct"/>
            <w:tcBorders>
              <w:left w:val="single" w:sz="18" w:space="0" w:color="000000"/>
            </w:tcBorders>
            <w:shd w:val="clear" w:color="auto" w:fill="C6D9F1" w:themeFill="text2" w:themeFillTint="33"/>
            <w:vAlign w:val="center"/>
          </w:tcPr>
          <w:p w14:paraId="1C1D4E4B" w14:textId="77777777" w:rsidR="00DF29A1" w:rsidRPr="00DF29A1" w:rsidRDefault="00DF29A1" w:rsidP="000C44DC">
            <w:pPr>
              <w:widowControl w:val="0"/>
              <w:ind w:right="-55"/>
              <w:rPr>
                <w:rFonts w:asciiTheme="minorHAnsi" w:hAnsiTheme="minorHAnsi"/>
              </w:rPr>
            </w:pPr>
            <w:r w:rsidRPr="00DF29A1">
              <w:rPr>
                <w:rFonts w:asciiTheme="minorHAnsi" w:hAnsiTheme="minorHAnsi"/>
              </w:rPr>
              <w:t>Veripos APEX2</w:t>
            </w:r>
          </w:p>
        </w:tc>
        <w:tc>
          <w:tcPr>
            <w:tcW w:w="2170" w:type="pct"/>
            <w:vMerge/>
            <w:tcBorders>
              <w:right w:val="single" w:sz="18" w:space="0" w:color="000000"/>
            </w:tcBorders>
            <w:shd w:val="clear" w:color="auto" w:fill="C6D9F1" w:themeFill="text2" w:themeFillTint="33"/>
            <w:vAlign w:val="center"/>
          </w:tcPr>
          <w:p w14:paraId="2B515B67" w14:textId="77777777" w:rsidR="00DF29A1" w:rsidRPr="00DF29A1" w:rsidRDefault="00DF29A1" w:rsidP="000C44DC">
            <w:pPr>
              <w:widowControl w:val="0"/>
              <w:rPr>
                <w:rFonts w:asciiTheme="minorHAnsi" w:hAnsiTheme="minorHAnsi"/>
              </w:rPr>
            </w:pPr>
          </w:p>
        </w:tc>
      </w:tr>
      <w:tr w:rsidR="00DF29A1" w:rsidRPr="00DF29A1" w14:paraId="5E5CDE7D" w14:textId="77777777" w:rsidTr="00DF29A1">
        <w:trPr>
          <w:cantSplit/>
          <w:trHeight w:val="512"/>
          <w:jc w:val="center"/>
        </w:trPr>
        <w:tc>
          <w:tcPr>
            <w:tcW w:w="2830" w:type="pct"/>
            <w:tcBorders>
              <w:top w:val="single" w:sz="18" w:space="0" w:color="auto"/>
              <w:left w:val="single" w:sz="18" w:space="0" w:color="000000"/>
              <w:bottom w:val="single" w:sz="8" w:space="0" w:color="000000"/>
            </w:tcBorders>
            <w:shd w:val="clear" w:color="auto" w:fill="C6D9F1" w:themeFill="text2" w:themeFillTint="33"/>
            <w:vAlign w:val="center"/>
          </w:tcPr>
          <w:p w14:paraId="008BE861" w14:textId="77777777" w:rsidR="00DF29A1" w:rsidRPr="00DF29A1" w:rsidRDefault="00DF29A1" w:rsidP="000C44DC">
            <w:pPr>
              <w:keepNext/>
              <w:keepLines/>
              <w:widowControl w:val="0"/>
              <w:ind w:right="-55"/>
              <w:rPr>
                <w:rFonts w:asciiTheme="minorHAnsi" w:hAnsiTheme="minorHAnsi"/>
              </w:rPr>
            </w:pPr>
            <w:r w:rsidRPr="00DF29A1">
              <w:rPr>
                <w:rFonts w:asciiTheme="minorHAnsi" w:hAnsiTheme="minorHAnsi"/>
              </w:rPr>
              <w:t>Veripos Ultra</w:t>
            </w:r>
          </w:p>
        </w:tc>
        <w:tc>
          <w:tcPr>
            <w:tcW w:w="2170" w:type="pct"/>
            <w:vMerge w:val="restart"/>
            <w:tcBorders>
              <w:top w:val="single" w:sz="18" w:space="0" w:color="auto"/>
              <w:right w:val="single" w:sz="18" w:space="0" w:color="000000"/>
            </w:tcBorders>
            <w:shd w:val="clear" w:color="auto" w:fill="C6D9F1" w:themeFill="text2" w:themeFillTint="33"/>
            <w:vAlign w:val="center"/>
          </w:tcPr>
          <w:p w14:paraId="125E8A56" w14:textId="77777777" w:rsidR="00DF29A1" w:rsidRPr="00DF29A1" w:rsidRDefault="00DF29A1" w:rsidP="000C44DC">
            <w:pPr>
              <w:keepNext/>
              <w:keepLines/>
              <w:widowControl w:val="0"/>
              <w:rPr>
                <w:rFonts w:asciiTheme="minorHAnsi" w:hAnsiTheme="minorHAnsi"/>
              </w:rPr>
            </w:pPr>
            <w:r w:rsidRPr="00DF29A1">
              <w:rPr>
                <w:rFonts w:asciiTheme="minorHAnsi" w:hAnsiTheme="minorHAnsi"/>
              </w:rPr>
              <w:t>PPP</w:t>
            </w:r>
          </w:p>
        </w:tc>
      </w:tr>
      <w:tr w:rsidR="00DF29A1" w:rsidRPr="00DF29A1" w14:paraId="30D1FC74" w14:textId="77777777" w:rsidTr="00DF29A1">
        <w:trPr>
          <w:cantSplit/>
          <w:trHeight w:val="512"/>
          <w:jc w:val="center"/>
        </w:trPr>
        <w:tc>
          <w:tcPr>
            <w:tcW w:w="2830" w:type="pct"/>
            <w:tcBorders>
              <w:top w:val="single" w:sz="8" w:space="0" w:color="000000"/>
              <w:left w:val="single" w:sz="18" w:space="0" w:color="000000"/>
              <w:bottom w:val="single" w:sz="18" w:space="0" w:color="000000"/>
            </w:tcBorders>
            <w:shd w:val="clear" w:color="auto" w:fill="C6D9F1" w:themeFill="text2" w:themeFillTint="33"/>
            <w:vAlign w:val="center"/>
          </w:tcPr>
          <w:p w14:paraId="2BD03914" w14:textId="77777777" w:rsidR="00DF29A1" w:rsidRPr="00DF29A1" w:rsidRDefault="00DF29A1" w:rsidP="000C44DC">
            <w:pPr>
              <w:keepNext/>
              <w:keepLines/>
              <w:widowControl w:val="0"/>
              <w:rPr>
                <w:rFonts w:asciiTheme="minorHAnsi" w:hAnsiTheme="minorHAnsi"/>
              </w:rPr>
            </w:pPr>
            <w:r w:rsidRPr="00DF29A1">
              <w:rPr>
                <w:rFonts w:asciiTheme="minorHAnsi" w:hAnsiTheme="minorHAnsi"/>
              </w:rPr>
              <w:t>Veripos Ultra2</w:t>
            </w:r>
          </w:p>
        </w:tc>
        <w:tc>
          <w:tcPr>
            <w:tcW w:w="2170" w:type="pct"/>
            <w:vMerge/>
            <w:tcBorders>
              <w:bottom w:val="single" w:sz="18" w:space="0" w:color="000000"/>
              <w:right w:val="single" w:sz="18" w:space="0" w:color="000000"/>
            </w:tcBorders>
            <w:shd w:val="clear" w:color="auto" w:fill="C6D9F1" w:themeFill="text2" w:themeFillTint="33"/>
            <w:vAlign w:val="center"/>
          </w:tcPr>
          <w:p w14:paraId="6E2A7BAB" w14:textId="77777777" w:rsidR="00DF29A1" w:rsidRPr="00DF29A1" w:rsidRDefault="00DF29A1" w:rsidP="000C44DC">
            <w:pPr>
              <w:keepNext/>
              <w:keepLines/>
              <w:widowControl w:val="0"/>
              <w:rPr>
                <w:rFonts w:asciiTheme="minorHAnsi" w:hAnsiTheme="minorHAnsi"/>
              </w:rPr>
            </w:pPr>
          </w:p>
        </w:tc>
      </w:tr>
      <w:tr w:rsidR="00DF29A1" w:rsidRPr="00DF29A1" w14:paraId="56251B3E" w14:textId="77777777" w:rsidTr="00DF29A1">
        <w:trPr>
          <w:cantSplit/>
          <w:trHeight w:val="512"/>
          <w:jc w:val="center"/>
        </w:trPr>
        <w:tc>
          <w:tcPr>
            <w:tcW w:w="2830" w:type="pct"/>
            <w:tcBorders>
              <w:top w:val="single" w:sz="18" w:space="0" w:color="000000"/>
              <w:left w:val="single" w:sz="18" w:space="0" w:color="000000"/>
            </w:tcBorders>
            <w:shd w:val="clear" w:color="auto" w:fill="C6D9F1" w:themeFill="text2" w:themeFillTint="33"/>
            <w:vAlign w:val="center"/>
          </w:tcPr>
          <w:p w14:paraId="02CEB1CE" w14:textId="77777777" w:rsidR="00DF29A1" w:rsidRPr="00DF29A1" w:rsidRDefault="00DF29A1" w:rsidP="000C44DC">
            <w:pPr>
              <w:ind w:right="-55"/>
              <w:rPr>
                <w:rFonts w:asciiTheme="minorHAnsi" w:hAnsiTheme="minorHAnsi"/>
              </w:rPr>
            </w:pPr>
            <w:r w:rsidRPr="00DF29A1">
              <w:rPr>
                <w:rFonts w:asciiTheme="minorHAnsi" w:hAnsiTheme="minorHAnsi"/>
              </w:rPr>
              <w:t>Veripos Standard</w:t>
            </w:r>
          </w:p>
        </w:tc>
        <w:tc>
          <w:tcPr>
            <w:tcW w:w="2170" w:type="pct"/>
            <w:vMerge w:val="restart"/>
            <w:tcBorders>
              <w:top w:val="single" w:sz="18" w:space="0" w:color="000000"/>
              <w:right w:val="single" w:sz="18" w:space="0" w:color="000000"/>
            </w:tcBorders>
            <w:shd w:val="clear" w:color="auto" w:fill="C6D9F1" w:themeFill="text2" w:themeFillTint="33"/>
            <w:vAlign w:val="center"/>
          </w:tcPr>
          <w:p w14:paraId="4E87E023" w14:textId="77777777" w:rsidR="00DF29A1" w:rsidRPr="00DF29A1" w:rsidRDefault="00DF29A1" w:rsidP="000C44DC">
            <w:pPr>
              <w:rPr>
                <w:rFonts w:asciiTheme="minorHAnsi" w:hAnsiTheme="minorHAnsi"/>
              </w:rPr>
            </w:pPr>
          </w:p>
          <w:p w14:paraId="4DAE7050" w14:textId="77777777" w:rsidR="00DF29A1" w:rsidRPr="00DF29A1" w:rsidRDefault="00DF29A1" w:rsidP="000C44DC">
            <w:pPr>
              <w:rPr>
                <w:rFonts w:asciiTheme="minorHAnsi" w:hAnsiTheme="minorHAnsi"/>
              </w:rPr>
            </w:pPr>
            <w:r w:rsidRPr="00DF29A1">
              <w:rPr>
                <w:rFonts w:asciiTheme="minorHAnsi" w:hAnsiTheme="minorHAnsi"/>
              </w:rPr>
              <w:t>High-Accuracy DGNSS</w:t>
            </w:r>
          </w:p>
          <w:p w14:paraId="3817967D" w14:textId="77777777" w:rsidR="00DF29A1" w:rsidRPr="00DF29A1" w:rsidRDefault="00DF29A1" w:rsidP="000C44DC">
            <w:pPr>
              <w:rPr>
                <w:rFonts w:asciiTheme="minorHAnsi" w:hAnsiTheme="minorHAnsi"/>
              </w:rPr>
            </w:pPr>
          </w:p>
        </w:tc>
      </w:tr>
      <w:tr w:rsidR="00DF29A1" w:rsidRPr="00DF29A1" w14:paraId="496343DF" w14:textId="77777777" w:rsidTr="00DF29A1">
        <w:trPr>
          <w:cantSplit/>
          <w:trHeight w:val="512"/>
          <w:jc w:val="center"/>
        </w:trPr>
        <w:tc>
          <w:tcPr>
            <w:tcW w:w="2830" w:type="pct"/>
            <w:tcBorders>
              <w:left w:val="single" w:sz="18" w:space="0" w:color="000000"/>
            </w:tcBorders>
            <w:shd w:val="clear" w:color="auto" w:fill="C6D9F1" w:themeFill="text2" w:themeFillTint="33"/>
            <w:vAlign w:val="center"/>
          </w:tcPr>
          <w:p w14:paraId="6892FA1B" w14:textId="77777777" w:rsidR="00DF29A1" w:rsidRPr="00DF29A1" w:rsidRDefault="00DF29A1" w:rsidP="000C44DC">
            <w:pPr>
              <w:ind w:right="-55"/>
              <w:rPr>
                <w:rFonts w:asciiTheme="minorHAnsi" w:hAnsiTheme="minorHAnsi"/>
              </w:rPr>
            </w:pPr>
            <w:r w:rsidRPr="00DF29A1">
              <w:rPr>
                <w:rFonts w:asciiTheme="minorHAnsi" w:hAnsiTheme="minorHAnsi"/>
              </w:rPr>
              <w:t>Veripos Standard2</w:t>
            </w:r>
          </w:p>
        </w:tc>
        <w:tc>
          <w:tcPr>
            <w:tcW w:w="2170" w:type="pct"/>
            <w:vMerge/>
            <w:tcBorders>
              <w:right w:val="single" w:sz="18" w:space="0" w:color="000000"/>
            </w:tcBorders>
            <w:shd w:val="clear" w:color="auto" w:fill="C6D9F1" w:themeFill="text2" w:themeFillTint="33"/>
            <w:vAlign w:val="center"/>
          </w:tcPr>
          <w:p w14:paraId="6991BCD1" w14:textId="77777777" w:rsidR="00DF29A1" w:rsidRPr="00DF29A1" w:rsidRDefault="00DF29A1" w:rsidP="000C44DC">
            <w:pPr>
              <w:rPr>
                <w:rFonts w:asciiTheme="minorHAnsi" w:hAnsiTheme="minorHAnsi"/>
              </w:rPr>
            </w:pPr>
          </w:p>
        </w:tc>
      </w:tr>
      <w:tr w:rsidR="00DF29A1" w:rsidRPr="00DF29A1" w14:paraId="40180205" w14:textId="77777777" w:rsidTr="00DF29A1">
        <w:trPr>
          <w:cantSplit/>
          <w:trHeight w:val="512"/>
          <w:jc w:val="center"/>
        </w:trPr>
        <w:tc>
          <w:tcPr>
            <w:tcW w:w="2830" w:type="pct"/>
            <w:tcBorders>
              <w:top w:val="single" w:sz="18" w:space="0" w:color="000000"/>
              <w:left w:val="single" w:sz="18" w:space="0" w:color="000000"/>
              <w:right w:val="single" w:sz="2" w:space="0" w:color="000000"/>
            </w:tcBorders>
            <w:shd w:val="clear" w:color="auto" w:fill="FDE9D9" w:themeFill="accent6" w:themeFillTint="33"/>
            <w:vAlign w:val="center"/>
          </w:tcPr>
          <w:p w14:paraId="40212D59" w14:textId="352659DF" w:rsidR="00DF29A1" w:rsidRPr="00DF29A1" w:rsidRDefault="00DF29A1" w:rsidP="000C44DC">
            <w:pPr>
              <w:rPr>
                <w:rFonts w:asciiTheme="minorHAnsi" w:hAnsiTheme="minorHAnsi"/>
              </w:rPr>
            </w:pPr>
            <w:r w:rsidRPr="00DF29A1">
              <w:rPr>
                <w:rFonts w:asciiTheme="minorHAnsi" w:hAnsiTheme="minorHAnsi"/>
              </w:rPr>
              <w:t>(Fugro)</w:t>
            </w:r>
            <w:r>
              <w:rPr>
                <w:rFonts w:asciiTheme="minorHAnsi" w:hAnsiTheme="minorHAnsi"/>
              </w:rPr>
              <w:t xml:space="preserve"> </w:t>
            </w:r>
            <w:r w:rsidRPr="00DF29A1">
              <w:rPr>
                <w:rFonts w:asciiTheme="minorHAnsi" w:hAnsiTheme="minorHAnsi"/>
              </w:rPr>
              <w:t>Startfix HP</w:t>
            </w:r>
          </w:p>
        </w:tc>
        <w:tc>
          <w:tcPr>
            <w:tcW w:w="2170" w:type="pct"/>
            <w:vMerge w:val="restart"/>
            <w:tcBorders>
              <w:top w:val="single" w:sz="18" w:space="0" w:color="000000"/>
              <w:left w:val="single" w:sz="2" w:space="0" w:color="000000"/>
              <w:right w:val="single" w:sz="18" w:space="0" w:color="000000"/>
            </w:tcBorders>
            <w:shd w:val="clear" w:color="auto" w:fill="FDE9D9" w:themeFill="accent6" w:themeFillTint="33"/>
            <w:vAlign w:val="center"/>
          </w:tcPr>
          <w:p w14:paraId="53D57B3C" w14:textId="77777777" w:rsidR="00DF29A1" w:rsidRPr="00DF29A1" w:rsidRDefault="00DF29A1" w:rsidP="000C44DC">
            <w:pPr>
              <w:rPr>
                <w:rFonts w:asciiTheme="minorHAnsi" w:hAnsiTheme="minorHAnsi"/>
              </w:rPr>
            </w:pPr>
            <w:r w:rsidRPr="00DF29A1">
              <w:rPr>
                <w:rFonts w:asciiTheme="minorHAnsi" w:hAnsiTheme="minorHAnsi"/>
              </w:rPr>
              <w:t>High-Accuracy DGNSS</w:t>
            </w:r>
          </w:p>
        </w:tc>
      </w:tr>
      <w:tr w:rsidR="00DF29A1" w:rsidRPr="00DF29A1" w14:paraId="47079319" w14:textId="77777777" w:rsidTr="00DF29A1">
        <w:trPr>
          <w:cantSplit/>
          <w:trHeight w:val="512"/>
          <w:jc w:val="center"/>
        </w:trPr>
        <w:tc>
          <w:tcPr>
            <w:tcW w:w="2830" w:type="pct"/>
            <w:tcBorders>
              <w:top w:val="single" w:sz="2" w:space="0" w:color="000000"/>
              <w:left w:val="single" w:sz="18" w:space="0" w:color="000000"/>
              <w:bottom w:val="single" w:sz="2" w:space="0" w:color="000000"/>
              <w:right w:val="single" w:sz="2" w:space="0" w:color="000000"/>
            </w:tcBorders>
            <w:shd w:val="clear" w:color="auto" w:fill="FDE9D9" w:themeFill="accent6" w:themeFillTint="33"/>
            <w:vAlign w:val="center"/>
          </w:tcPr>
          <w:p w14:paraId="741256E0" w14:textId="28F74FA2" w:rsidR="00DF29A1" w:rsidRPr="00DF29A1" w:rsidRDefault="00DF29A1" w:rsidP="00DF29A1">
            <w:pPr>
              <w:rPr>
                <w:rFonts w:asciiTheme="minorHAnsi" w:hAnsiTheme="minorHAnsi"/>
              </w:rPr>
            </w:pPr>
            <w:r w:rsidRPr="00DF29A1">
              <w:rPr>
                <w:rFonts w:asciiTheme="minorHAnsi" w:hAnsiTheme="minorHAnsi"/>
              </w:rPr>
              <w:t>(Fugro)</w:t>
            </w:r>
            <w:r>
              <w:rPr>
                <w:rFonts w:asciiTheme="minorHAnsi" w:hAnsiTheme="minorHAnsi"/>
              </w:rPr>
              <w:t xml:space="preserve"> </w:t>
            </w:r>
            <w:r w:rsidRPr="00DF29A1">
              <w:rPr>
                <w:rFonts w:asciiTheme="minorHAnsi" w:hAnsiTheme="minorHAnsi"/>
              </w:rPr>
              <w:t>Marinestar</w:t>
            </w:r>
          </w:p>
        </w:tc>
        <w:tc>
          <w:tcPr>
            <w:tcW w:w="2170" w:type="pct"/>
            <w:vMerge/>
            <w:tcBorders>
              <w:left w:val="single" w:sz="2" w:space="0" w:color="000000"/>
              <w:right w:val="single" w:sz="18" w:space="0" w:color="000000"/>
            </w:tcBorders>
            <w:shd w:val="clear" w:color="auto" w:fill="FDE9D9" w:themeFill="accent6" w:themeFillTint="33"/>
            <w:vAlign w:val="center"/>
          </w:tcPr>
          <w:p w14:paraId="7E9BC023" w14:textId="77777777" w:rsidR="00DF29A1" w:rsidRPr="00DF29A1" w:rsidRDefault="00DF29A1" w:rsidP="000C44DC">
            <w:pPr>
              <w:rPr>
                <w:rFonts w:asciiTheme="minorHAnsi" w:hAnsiTheme="minorHAnsi"/>
              </w:rPr>
            </w:pPr>
          </w:p>
        </w:tc>
      </w:tr>
      <w:tr w:rsidR="00DF29A1" w:rsidRPr="00DF29A1" w14:paraId="16D377C8" w14:textId="77777777" w:rsidTr="00DF29A1">
        <w:trPr>
          <w:cantSplit/>
          <w:trHeight w:val="512"/>
          <w:jc w:val="center"/>
        </w:trPr>
        <w:tc>
          <w:tcPr>
            <w:tcW w:w="2830" w:type="pct"/>
            <w:tcBorders>
              <w:top w:val="single" w:sz="2" w:space="0" w:color="000000"/>
              <w:left w:val="single" w:sz="18" w:space="0" w:color="000000"/>
              <w:bottom w:val="single" w:sz="2" w:space="0" w:color="000000"/>
              <w:right w:val="single" w:sz="2" w:space="0" w:color="000000"/>
            </w:tcBorders>
            <w:shd w:val="clear" w:color="auto" w:fill="FDE9D9" w:themeFill="accent6" w:themeFillTint="33"/>
            <w:vAlign w:val="center"/>
          </w:tcPr>
          <w:p w14:paraId="70A84DBF" w14:textId="217D591A" w:rsidR="00DF29A1" w:rsidRPr="00DF29A1" w:rsidRDefault="00DF29A1" w:rsidP="00DF29A1">
            <w:pPr>
              <w:rPr>
                <w:rFonts w:asciiTheme="minorHAnsi" w:hAnsiTheme="minorHAnsi"/>
              </w:rPr>
            </w:pPr>
            <w:r w:rsidRPr="00DF29A1">
              <w:rPr>
                <w:rFonts w:asciiTheme="minorHAnsi" w:hAnsiTheme="minorHAnsi"/>
              </w:rPr>
              <w:t>(Fugro)</w:t>
            </w:r>
            <w:r>
              <w:rPr>
                <w:rFonts w:asciiTheme="minorHAnsi" w:hAnsiTheme="minorHAnsi"/>
              </w:rPr>
              <w:t xml:space="preserve"> </w:t>
            </w:r>
            <w:r w:rsidRPr="00DF29A1">
              <w:rPr>
                <w:rFonts w:asciiTheme="minorHAnsi" w:hAnsiTheme="minorHAnsi"/>
              </w:rPr>
              <w:t>Startfix &amp;</w:t>
            </w:r>
            <w:r>
              <w:rPr>
                <w:rFonts w:asciiTheme="minorHAnsi" w:hAnsiTheme="minorHAnsi"/>
              </w:rPr>
              <w:t xml:space="preserve"> </w:t>
            </w:r>
            <w:r w:rsidRPr="00DF29A1">
              <w:rPr>
                <w:rFonts w:asciiTheme="minorHAnsi" w:hAnsiTheme="minorHAnsi"/>
              </w:rPr>
              <w:t>Seastar L1</w:t>
            </w:r>
          </w:p>
        </w:tc>
        <w:tc>
          <w:tcPr>
            <w:tcW w:w="2170" w:type="pct"/>
            <w:vMerge/>
            <w:tcBorders>
              <w:left w:val="single" w:sz="2" w:space="0" w:color="000000"/>
              <w:right w:val="single" w:sz="18" w:space="0" w:color="000000"/>
            </w:tcBorders>
            <w:shd w:val="clear" w:color="auto" w:fill="FDE9D9" w:themeFill="accent6" w:themeFillTint="33"/>
            <w:vAlign w:val="center"/>
          </w:tcPr>
          <w:p w14:paraId="03BB9D3D" w14:textId="77777777" w:rsidR="00DF29A1" w:rsidRPr="00DF29A1" w:rsidRDefault="00DF29A1" w:rsidP="000C44DC">
            <w:pPr>
              <w:rPr>
                <w:rFonts w:asciiTheme="minorHAnsi" w:hAnsiTheme="minorHAnsi"/>
              </w:rPr>
            </w:pPr>
          </w:p>
        </w:tc>
      </w:tr>
      <w:tr w:rsidR="00DF29A1" w:rsidRPr="00DF29A1" w14:paraId="76C89683" w14:textId="77777777" w:rsidTr="00DF29A1">
        <w:trPr>
          <w:cantSplit/>
          <w:trHeight w:val="512"/>
          <w:jc w:val="center"/>
        </w:trPr>
        <w:tc>
          <w:tcPr>
            <w:tcW w:w="2830" w:type="pct"/>
            <w:tcBorders>
              <w:top w:val="single" w:sz="18" w:space="0" w:color="000000"/>
              <w:left w:val="single" w:sz="18" w:space="0" w:color="000000"/>
            </w:tcBorders>
            <w:shd w:val="clear" w:color="auto" w:fill="FDE9D9" w:themeFill="accent6" w:themeFillTint="33"/>
            <w:vAlign w:val="center"/>
          </w:tcPr>
          <w:p w14:paraId="235F90A1" w14:textId="572030BD" w:rsidR="00DF29A1" w:rsidRPr="00DF29A1" w:rsidRDefault="00DF29A1" w:rsidP="00DF29A1">
            <w:pPr>
              <w:rPr>
                <w:rFonts w:asciiTheme="minorHAnsi" w:hAnsiTheme="minorHAnsi"/>
              </w:rPr>
            </w:pPr>
            <w:r w:rsidRPr="00DF29A1">
              <w:rPr>
                <w:rFonts w:asciiTheme="minorHAnsi" w:hAnsiTheme="minorHAnsi"/>
              </w:rPr>
              <w:t>(Fugro)</w:t>
            </w:r>
            <w:r>
              <w:rPr>
                <w:rFonts w:asciiTheme="minorHAnsi" w:hAnsiTheme="minorHAnsi"/>
              </w:rPr>
              <w:t xml:space="preserve"> </w:t>
            </w:r>
            <w:r w:rsidRPr="00DF29A1">
              <w:rPr>
                <w:rFonts w:asciiTheme="minorHAnsi" w:hAnsiTheme="minorHAnsi"/>
              </w:rPr>
              <w:t>Starfix &amp; Seastar G2</w:t>
            </w:r>
          </w:p>
        </w:tc>
        <w:tc>
          <w:tcPr>
            <w:tcW w:w="2170" w:type="pct"/>
            <w:vMerge w:val="restart"/>
            <w:tcBorders>
              <w:top w:val="single" w:sz="18" w:space="0" w:color="000000"/>
              <w:right w:val="single" w:sz="18" w:space="0" w:color="000000"/>
            </w:tcBorders>
            <w:shd w:val="clear" w:color="auto" w:fill="FDE9D9" w:themeFill="accent6" w:themeFillTint="33"/>
            <w:vAlign w:val="center"/>
          </w:tcPr>
          <w:p w14:paraId="243C30DB" w14:textId="77777777" w:rsidR="00DF29A1" w:rsidRPr="00DF29A1" w:rsidRDefault="00DF29A1" w:rsidP="000C44DC">
            <w:pPr>
              <w:keepNext/>
              <w:keepLines/>
              <w:widowControl w:val="0"/>
              <w:rPr>
                <w:rFonts w:asciiTheme="minorHAnsi" w:hAnsiTheme="minorHAnsi"/>
              </w:rPr>
            </w:pPr>
            <w:r w:rsidRPr="00DF29A1">
              <w:rPr>
                <w:rFonts w:asciiTheme="minorHAnsi" w:hAnsiTheme="minorHAnsi"/>
              </w:rPr>
              <w:t>PPP</w:t>
            </w:r>
          </w:p>
        </w:tc>
      </w:tr>
      <w:tr w:rsidR="00DF29A1" w:rsidRPr="00DF29A1" w14:paraId="26F1AD38" w14:textId="77777777" w:rsidTr="00DF29A1">
        <w:trPr>
          <w:cantSplit/>
          <w:trHeight w:val="512"/>
          <w:jc w:val="center"/>
        </w:trPr>
        <w:tc>
          <w:tcPr>
            <w:tcW w:w="2830" w:type="pct"/>
            <w:tcBorders>
              <w:left w:val="single" w:sz="18" w:space="0" w:color="000000"/>
            </w:tcBorders>
            <w:shd w:val="clear" w:color="auto" w:fill="FDE9D9" w:themeFill="accent6" w:themeFillTint="33"/>
            <w:vAlign w:val="center"/>
          </w:tcPr>
          <w:p w14:paraId="0EAC6896" w14:textId="27B70824" w:rsidR="00DF29A1" w:rsidRPr="00DF29A1" w:rsidRDefault="00DF29A1" w:rsidP="00DF29A1">
            <w:pPr>
              <w:rPr>
                <w:rFonts w:asciiTheme="minorHAnsi" w:hAnsiTheme="minorHAnsi"/>
              </w:rPr>
            </w:pPr>
            <w:r w:rsidRPr="00DF29A1">
              <w:rPr>
                <w:rFonts w:asciiTheme="minorHAnsi" w:hAnsiTheme="minorHAnsi"/>
              </w:rPr>
              <w:t>(Fugro)</w:t>
            </w:r>
            <w:r>
              <w:rPr>
                <w:rFonts w:asciiTheme="minorHAnsi" w:hAnsiTheme="minorHAnsi"/>
              </w:rPr>
              <w:t xml:space="preserve"> </w:t>
            </w:r>
            <w:r w:rsidRPr="00DF29A1">
              <w:rPr>
                <w:rFonts w:asciiTheme="minorHAnsi" w:hAnsiTheme="minorHAnsi"/>
              </w:rPr>
              <w:t>Starfix &amp; Seastar G4</w:t>
            </w:r>
          </w:p>
        </w:tc>
        <w:tc>
          <w:tcPr>
            <w:tcW w:w="2170" w:type="pct"/>
            <w:vMerge/>
            <w:tcBorders>
              <w:right w:val="single" w:sz="18" w:space="0" w:color="000000"/>
            </w:tcBorders>
            <w:shd w:val="clear" w:color="auto" w:fill="FDE9D9" w:themeFill="accent6" w:themeFillTint="33"/>
            <w:vAlign w:val="center"/>
          </w:tcPr>
          <w:p w14:paraId="07350808" w14:textId="77777777" w:rsidR="00DF29A1" w:rsidRPr="00DF29A1" w:rsidRDefault="00DF29A1" w:rsidP="000C44DC">
            <w:pPr>
              <w:keepNext/>
              <w:keepLines/>
              <w:widowControl w:val="0"/>
              <w:rPr>
                <w:rFonts w:asciiTheme="minorHAnsi" w:hAnsiTheme="minorHAnsi"/>
              </w:rPr>
            </w:pPr>
          </w:p>
        </w:tc>
      </w:tr>
      <w:tr w:rsidR="00DF29A1" w:rsidRPr="00DF29A1" w14:paraId="54BE5A2A" w14:textId="77777777" w:rsidTr="00DF29A1">
        <w:trPr>
          <w:cantSplit/>
          <w:trHeight w:val="512"/>
          <w:jc w:val="center"/>
        </w:trPr>
        <w:tc>
          <w:tcPr>
            <w:tcW w:w="2830" w:type="pct"/>
            <w:tcBorders>
              <w:left w:val="single" w:sz="18" w:space="0" w:color="000000"/>
              <w:bottom w:val="single" w:sz="6" w:space="0" w:color="000000"/>
            </w:tcBorders>
            <w:shd w:val="clear" w:color="auto" w:fill="FDE9D9" w:themeFill="accent6" w:themeFillTint="33"/>
            <w:vAlign w:val="center"/>
          </w:tcPr>
          <w:p w14:paraId="2A992D58" w14:textId="1C810329" w:rsidR="00DF29A1" w:rsidRPr="00DF29A1" w:rsidRDefault="00DF29A1" w:rsidP="00DF29A1">
            <w:pPr>
              <w:rPr>
                <w:rFonts w:asciiTheme="minorHAnsi" w:hAnsiTheme="minorHAnsi"/>
              </w:rPr>
            </w:pPr>
            <w:r w:rsidRPr="00DF29A1">
              <w:rPr>
                <w:rFonts w:asciiTheme="minorHAnsi" w:hAnsiTheme="minorHAnsi"/>
              </w:rPr>
              <w:t>(Fugro)</w:t>
            </w:r>
            <w:r>
              <w:rPr>
                <w:rFonts w:asciiTheme="minorHAnsi" w:hAnsiTheme="minorHAnsi"/>
              </w:rPr>
              <w:t xml:space="preserve"> </w:t>
            </w:r>
            <w:r w:rsidRPr="00DF29A1">
              <w:rPr>
                <w:rFonts w:asciiTheme="minorHAnsi" w:hAnsiTheme="minorHAnsi"/>
              </w:rPr>
              <w:t>Startfix &amp; Seastar XP</w:t>
            </w:r>
          </w:p>
        </w:tc>
        <w:tc>
          <w:tcPr>
            <w:tcW w:w="2170" w:type="pct"/>
            <w:vMerge/>
            <w:tcBorders>
              <w:bottom w:val="single" w:sz="6" w:space="0" w:color="000000"/>
              <w:right w:val="single" w:sz="18" w:space="0" w:color="000000"/>
            </w:tcBorders>
            <w:shd w:val="clear" w:color="auto" w:fill="FDE9D9" w:themeFill="accent6" w:themeFillTint="33"/>
            <w:vAlign w:val="center"/>
          </w:tcPr>
          <w:p w14:paraId="516D6009" w14:textId="77777777" w:rsidR="00DF29A1" w:rsidRPr="00DF29A1" w:rsidRDefault="00DF29A1" w:rsidP="000C44DC">
            <w:pPr>
              <w:keepNext/>
              <w:keepLines/>
              <w:widowControl w:val="0"/>
              <w:rPr>
                <w:rFonts w:asciiTheme="minorHAnsi" w:hAnsiTheme="minorHAnsi"/>
              </w:rPr>
            </w:pPr>
          </w:p>
        </w:tc>
      </w:tr>
      <w:tr w:rsidR="00DF29A1" w:rsidRPr="00DF29A1" w14:paraId="031B3348" w14:textId="77777777" w:rsidTr="00DF29A1">
        <w:trPr>
          <w:cantSplit/>
          <w:trHeight w:val="512"/>
          <w:jc w:val="center"/>
        </w:trPr>
        <w:tc>
          <w:tcPr>
            <w:tcW w:w="2830" w:type="pct"/>
            <w:tcBorders>
              <w:left w:val="single" w:sz="18" w:space="0" w:color="000000"/>
              <w:bottom w:val="single" w:sz="18" w:space="0" w:color="000000"/>
            </w:tcBorders>
            <w:shd w:val="clear" w:color="auto" w:fill="FDE9D9" w:themeFill="accent6" w:themeFillTint="33"/>
            <w:vAlign w:val="center"/>
          </w:tcPr>
          <w:p w14:paraId="7F10BB45" w14:textId="33EF523B" w:rsidR="00DF29A1" w:rsidRPr="00DF29A1" w:rsidRDefault="00DF29A1" w:rsidP="00DF29A1">
            <w:pPr>
              <w:rPr>
                <w:rFonts w:asciiTheme="minorHAnsi" w:hAnsiTheme="minorHAnsi"/>
              </w:rPr>
            </w:pPr>
            <w:r w:rsidRPr="00DF29A1">
              <w:rPr>
                <w:rFonts w:asciiTheme="minorHAnsi" w:hAnsiTheme="minorHAnsi"/>
              </w:rPr>
              <w:t>(Fugro)</w:t>
            </w:r>
            <w:r>
              <w:rPr>
                <w:rFonts w:asciiTheme="minorHAnsi" w:hAnsiTheme="minorHAnsi"/>
              </w:rPr>
              <w:t xml:space="preserve"> </w:t>
            </w:r>
            <w:r w:rsidRPr="00DF29A1">
              <w:rPr>
                <w:rFonts w:asciiTheme="minorHAnsi" w:hAnsiTheme="minorHAnsi"/>
              </w:rPr>
              <w:t>Startfix &amp; Seastar XP2</w:t>
            </w:r>
          </w:p>
        </w:tc>
        <w:tc>
          <w:tcPr>
            <w:tcW w:w="2170" w:type="pct"/>
            <w:vMerge/>
            <w:tcBorders>
              <w:bottom w:val="single" w:sz="18" w:space="0" w:color="000000"/>
              <w:right w:val="single" w:sz="18" w:space="0" w:color="000000"/>
            </w:tcBorders>
            <w:shd w:val="clear" w:color="auto" w:fill="FDE9D9" w:themeFill="accent6" w:themeFillTint="33"/>
            <w:vAlign w:val="center"/>
          </w:tcPr>
          <w:p w14:paraId="3FED41A0" w14:textId="77777777" w:rsidR="00DF29A1" w:rsidRPr="00DF29A1" w:rsidRDefault="00DF29A1" w:rsidP="000C44DC">
            <w:pPr>
              <w:keepNext/>
              <w:keepLines/>
              <w:widowControl w:val="0"/>
              <w:rPr>
                <w:rFonts w:asciiTheme="minorHAnsi" w:hAnsiTheme="minorHAnsi"/>
              </w:rPr>
            </w:pPr>
          </w:p>
        </w:tc>
      </w:tr>
      <w:tr w:rsidR="00DF29A1" w:rsidRPr="00DF29A1" w14:paraId="202468A3" w14:textId="77777777" w:rsidTr="00DF29A1">
        <w:trPr>
          <w:cantSplit/>
          <w:trHeight w:val="512"/>
          <w:jc w:val="center"/>
        </w:trPr>
        <w:tc>
          <w:tcPr>
            <w:tcW w:w="2830" w:type="pct"/>
            <w:tcBorders>
              <w:top w:val="single" w:sz="18" w:space="0" w:color="auto"/>
              <w:left w:val="single" w:sz="18" w:space="0" w:color="000000"/>
            </w:tcBorders>
            <w:shd w:val="clear" w:color="auto" w:fill="CCC0D9" w:themeFill="accent4" w:themeFillTint="66"/>
            <w:vAlign w:val="center"/>
          </w:tcPr>
          <w:p w14:paraId="458AFCB1" w14:textId="77777777" w:rsidR="00DF29A1" w:rsidRPr="00DF29A1" w:rsidRDefault="00DF29A1" w:rsidP="000C44DC">
            <w:pPr>
              <w:rPr>
                <w:rFonts w:asciiTheme="minorHAnsi" w:hAnsiTheme="minorHAnsi"/>
              </w:rPr>
            </w:pPr>
            <w:r w:rsidRPr="00DF29A1">
              <w:rPr>
                <w:rFonts w:asciiTheme="minorHAnsi" w:hAnsiTheme="minorHAnsi"/>
              </w:rPr>
              <w:t>Hemisphere ATLAS</w:t>
            </w:r>
            <w:r w:rsidRPr="00DF29A1">
              <w:rPr>
                <w:rFonts w:asciiTheme="minorHAnsi" w:hAnsiTheme="minorHAnsi"/>
                <w:vertAlign w:val="superscript"/>
              </w:rPr>
              <w:t>TM</w:t>
            </w:r>
            <w:r w:rsidRPr="00DF29A1">
              <w:rPr>
                <w:rFonts w:asciiTheme="minorHAnsi" w:hAnsiTheme="minorHAnsi"/>
              </w:rPr>
              <w:t xml:space="preserve"> H10</w:t>
            </w:r>
          </w:p>
        </w:tc>
        <w:tc>
          <w:tcPr>
            <w:tcW w:w="2170" w:type="pct"/>
            <w:vMerge w:val="restart"/>
            <w:tcBorders>
              <w:top w:val="single" w:sz="18" w:space="0" w:color="auto"/>
              <w:right w:val="single" w:sz="18" w:space="0" w:color="000000"/>
            </w:tcBorders>
            <w:shd w:val="clear" w:color="auto" w:fill="CCC0D9" w:themeFill="accent4" w:themeFillTint="66"/>
            <w:vAlign w:val="center"/>
          </w:tcPr>
          <w:p w14:paraId="000CDA3D" w14:textId="77777777" w:rsidR="00DF29A1" w:rsidRPr="00DF29A1" w:rsidRDefault="00DF29A1" w:rsidP="000C44DC">
            <w:pPr>
              <w:rPr>
                <w:rFonts w:asciiTheme="minorHAnsi" w:hAnsiTheme="minorHAnsi"/>
              </w:rPr>
            </w:pPr>
            <w:r w:rsidRPr="00DF29A1">
              <w:rPr>
                <w:rFonts w:asciiTheme="minorHAnsi" w:hAnsiTheme="minorHAnsi"/>
              </w:rPr>
              <w:t>PPP</w:t>
            </w:r>
          </w:p>
        </w:tc>
      </w:tr>
      <w:tr w:rsidR="00DF29A1" w:rsidRPr="00DF29A1" w14:paraId="77713004" w14:textId="77777777" w:rsidTr="00DF29A1">
        <w:trPr>
          <w:cantSplit/>
          <w:trHeight w:val="512"/>
          <w:jc w:val="center"/>
        </w:trPr>
        <w:tc>
          <w:tcPr>
            <w:tcW w:w="2830" w:type="pct"/>
            <w:tcBorders>
              <w:left w:val="single" w:sz="18" w:space="0" w:color="000000"/>
            </w:tcBorders>
            <w:shd w:val="clear" w:color="auto" w:fill="CCC0D9" w:themeFill="accent4" w:themeFillTint="66"/>
            <w:vAlign w:val="center"/>
          </w:tcPr>
          <w:p w14:paraId="2FCEEBFD" w14:textId="77777777" w:rsidR="00DF29A1" w:rsidRPr="00DF29A1" w:rsidRDefault="00DF29A1" w:rsidP="000C44DC">
            <w:pPr>
              <w:rPr>
                <w:rFonts w:asciiTheme="minorHAnsi" w:hAnsiTheme="minorHAnsi"/>
              </w:rPr>
            </w:pPr>
            <w:r w:rsidRPr="00DF29A1">
              <w:rPr>
                <w:rFonts w:asciiTheme="minorHAnsi" w:hAnsiTheme="minorHAnsi"/>
              </w:rPr>
              <w:t>Hemisphere ATLAS</w:t>
            </w:r>
            <w:r w:rsidRPr="00DF29A1">
              <w:rPr>
                <w:rFonts w:asciiTheme="minorHAnsi" w:hAnsiTheme="minorHAnsi"/>
                <w:vertAlign w:val="superscript"/>
              </w:rPr>
              <w:t>TM</w:t>
            </w:r>
            <w:r w:rsidRPr="00DF29A1">
              <w:rPr>
                <w:rFonts w:asciiTheme="minorHAnsi" w:hAnsiTheme="minorHAnsi"/>
              </w:rPr>
              <w:t xml:space="preserve"> H30</w:t>
            </w:r>
          </w:p>
        </w:tc>
        <w:tc>
          <w:tcPr>
            <w:tcW w:w="2170" w:type="pct"/>
            <w:vMerge/>
            <w:tcBorders>
              <w:right w:val="single" w:sz="18" w:space="0" w:color="000000"/>
            </w:tcBorders>
            <w:shd w:val="clear" w:color="auto" w:fill="CCC0D9" w:themeFill="accent4" w:themeFillTint="66"/>
            <w:vAlign w:val="center"/>
          </w:tcPr>
          <w:p w14:paraId="30401A49" w14:textId="77777777" w:rsidR="00DF29A1" w:rsidRPr="00DF29A1" w:rsidRDefault="00DF29A1" w:rsidP="000C44DC">
            <w:pPr>
              <w:rPr>
                <w:rFonts w:asciiTheme="minorHAnsi" w:hAnsiTheme="minorHAnsi"/>
              </w:rPr>
            </w:pPr>
          </w:p>
        </w:tc>
      </w:tr>
      <w:tr w:rsidR="00DF29A1" w:rsidRPr="00DF29A1" w14:paraId="3394E029" w14:textId="77777777" w:rsidTr="00DF29A1">
        <w:trPr>
          <w:cantSplit/>
          <w:trHeight w:val="512"/>
          <w:jc w:val="center"/>
        </w:trPr>
        <w:tc>
          <w:tcPr>
            <w:tcW w:w="2830" w:type="pct"/>
            <w:tcBorders>
              <w:left w:val="single" w:sz="18" w:space="0" w:color="000000"/>
              <w:bottom w:val="single" w:sz="18" w:space="0" w:color="000000"/>
            </w:tcBorders>
            <w:shd w:val="clear" w:color="auto" w:fill="CCC0D9" w:themeFill="accent4" w:themeFillTint="66"/>
            <w:vAlign w:val="center"/>
          </w:tcPr>
          <w:p w14:paraId="4C4C0AB4" w14:textId="77777777" w:rsidR="00DF29A1" w:rsidRPr="00DF29A1" w:rsidRDefault="00DF29A1" w:rsidP="000C44DC">
            <w:pPr>
              <w:rPr>
                <w:rFonts w:asciiTheme="minorHAnsi" w:hAnsiTheme="minorHAnsi"/>
              </w:rPr>
            </w:pPr>
            <w:r w:rsidRPr="00DF29A1">
              <w:rPr>
                <w:rFonts w:asciiTheme="minorHAnsi" w:hAnsiTheme="minorHAnsi"/>
              </w:rPr>
              <w:t>Hemisphere ATLAS</w:t>
            </w:r>
            <w:r w:rsidRPr="00DF29A1">
              <w:rPr>
                <w:rFonts w:asciiTheme="minorHAnsi" w:hAnsiTheme="minorHAnsi"/>
                <w:vertAlign w:val="superscript"/>
              </w:rPr>
              <w:t>TM</w:t>
            </w:r>
            <w:r w:rsidRPr="00DF29A1">
              <w:rPr>
                <w:rFonts w:asciiTheme="minorHAnsi" w:hAnsiTheme="minorHAnsi"/>
              </w:rPr>
              <w:t xml:space="preserve"> H100</w:t>
            </w:r>
          </w:p>
        </w:tc>
        <w:tc>
          <w:tcPr>
            <w:tcW w:w="2170" w:type="pct"/>
            <w:tcBorders>
              <w:bottom w:val="single" w:sz="18" w:space="0" w:color="000000"/>
              <w:right w:val="single" w:sz="18" w:space="0" w:color="000000"/>
            </w:tcBorders>
            <w:shd w:val="clear" w:color="auto" w:fill="CCC0D9" w:themeFill="accent4" w:themeFillTint="66"/>
            <w:vAlign w:val="center"/>
          </w:tcPr>
          <w:p w14:paraId="1C4381F8" w14:textId="77777777" w:rsidR="00DF29A1" w:rsidRPr="00DF29A1" w:rsidRDefault="00DF29A1" w:rsidP="000C44DC">
            <w:pPr>
              <w:rPr>
                <w:rFonts w:asciiTheme="minorHAnsi" w:hAnsiTheme="minorHAnsi"/>
              </w:rPr>
            </w:pPr>
            <w:r w:rsidRPr="00DF29A1">
              <w:rPr>
                <w:rFonts w:asciiTheme="minorHAnsi" w:hAnsiTheme="minorHAnsi"/>
              </w:rPr>
              <w:t>DGNSS</w:t>
            </w:r>
          </w:p>
        </w:tc>
      </w:tr>
      <w:bookmarkEnd w:id="8"/>
      <w:bookmarkEnd w:id="9"/>
    </w:tbl>
    <w:p w14:paraId="23C7CC2E" w14:textId="77777777" w:rsidR="000F0554" w:rsidRPr="000F0554" w:rsidRDefault="000F0554" w:rsidP="000F0554">
      <w:pPr>
        <w:rPr>
          <w:lang w:eastAsia="en-US"/>
        </w:rPr>
      </w:pPr>
    </w:p>
    <w:p w14:paraId="37FFD777" w14:textId="03A5C58D" w:rsidR="000F0554" w:rsidRPr="00E34581" w:rsidRDefault="000F0554" w:rsidP="00E34581">
      <w:pPr>
        <w:pStyle w:val="Heading2"/>
      </w:pPr>
      <w:r w:rsidRPr="00E34581">
        <w:t>Value chain</w:t>
      </w:r>
    </w:p>
    <w:p w14:paraId="59B58440" w14:textId="6E5D0A6C" w:rsidR="00A25B3D" w:rsidRDefault="004A6AB8" w:rsidP="00A25B3D">
      <w:pPr>
        <w:pStyle w:val="BodyText"/>
      </w:pPr>
      <w:r w:rsidRPr="004A6AB8">
        <w:t>After the</w:t>
      </w:r>
      <w:r w:rsidR="001A16CB">
        <w:t xml:space="preserve"> analysis of positioning techniques and services,</w:t>
      </w:r>
      <w:r w:rsidRPr="004A6AB8">
        <w:t xml:space="preserve"> </w:t>
      </w:r>
      <w:r w:rsidR="003531B6">
        <w:t>the value chain of the high accuracy commercial services was described from a functional perspective.</w:t>
      </w:r>
      <w:r w:rsidR="003531B6" w:rsidRPr="004A6AB8">
        <w:t xml:space="preserve"> </w:t>
      </w:r>
      <w:r w:rsidR="00A25B3D">
        <w:t>The main elements that all commercial services need and use include:</w:t>
      </w:r>
    </w:p>
    <w:p w14:paraId="239F77F9" w14:textId="2BD63BE9" w:rsidR="00A25B3D" w:rsidRDefault="00A25B3D" w:rsidP="00E34581">
      <w:pPr>
        <w:pStyle w:val="BodyText"/>
        <w:numPr>
          <w:ilvl w:val="0"/>
          <w:numId w:val="36"/>
        </w:numPr>
      </w:pPr>
      <w:r>
        <w:t>Service Provision: including the operation of the infrastructure and management of the service, but also the provision of the support services to the Customer.</w:t>
      </w:r>
    </w:p>
    <w:p w14:paraId="37CA5470" w14:textId="1391C224" w:rsidR="00A25B3D" w:rsidRDefault="00A25B3D" w:rsidP="00E34581">
      <w:pPr>
        <w:pStyle w:val="BodyText"/>
        <w:numPr>
          <w:ilvl w:val="0"/>
          <w:numId w:val="36"/>
        </w:numPr>
      </w:pPr>
      <w:r>
        <w:t>Network of reference stations: GNSS measurement are to be gathered on a continuous basis and sent with low latency in order to be able to generate the corresponding high accuracy products (which may be different depending on the technique).</w:t>
      </w:r>
    </w:p>
    <w:p w14:paraId="68162361" w14:textId="13A84F79" w:rsidR="00A25B3D" w:rsidRDefault="00A25B3D" w:rsidP="00E34581">
      <w:pPr>
        <w:pStyle w:val="BodyText"/>
        <w:numPr>
          <w:ilvl w:val="0"/>
          <w:numId w:val="36"/>
        </w:numPr>
      </w:pPr>
      <w:r>
        <w:t xml:space="preserve">Processing </w:t>
      </w:r>
      <w:r w:rsidR="001A16CB">
        <w:t>centre</w:t>
      </w:r>
      <w:r>
        <w:t>: depending on the underlying positioning technique that is applied at user level, additional processing of the GNSS measurements gathered by the reference stations is needed to compute the high accuracy products/corrections.</w:t>
      </w:r>
    </w:p>
    <w:p w14:paraId="34582026" w14:textId="4D72892A" w:rsidR="00A25B3D" w:rsidRDefault="00A25B3D" w:rsidP="00E34581">
      <w:pPr>
        <w:pStyle w:val="BodyText"/>
        <w:numPr>
          <w:ilvl w:val="0"/>
          <w:numId w:val="36"/>
        </w:numPr>
      </w:pPr>
      <w:r>
        <w:lastRenderedPageBreak/>
        <w:t>Transmitting infrastructure: independently of the positioning technique to be applied at user level, the existing commercial services use a specific transmitting infrastructure to deliver their products to users.</w:t>
      </w:r>
    </w:p>
    <w:p w14:paraId="33D61877" w14:textId="608F507B" w:rsidR="00A25B3D" w:rsidRDefault="00A25B3D" w:rsidP="00E34581">
      <w:pPr>
        <w:pStyle w:val="BodyText"/>
        <w:numPr>
          <w:ilvl w:val="0"/>
          <w:numId w:val="36"/>
        </w:numPr>
      </w:pPr>
      <w:r>
        <w:t>User equipment: dedicated/specific user equipment is normally required to take benefit of the commercial high accuracy services available in the market today. Commercial services are based on high accuracy products which are made available in proprietary formats. This has two key implications: only specific user equipment supports each commercial service and users need to pay for a subscription (in addition to the user equipment).</w:t>
      </w:r>
    </w:p>
    <w:p w14:paraId="37754BB9" w14:textId="6BC35BD2" w:rsidR="00A25B3D" w:rsidRPr="004A6AB8" w:rsidRDefault="00A25B3D" w:rsidP="00E34581">
      <w:pPr>
        <w:pStyle w:val="BodyText"/>
        <w:numPr>
          <w:ilvl w:val="0"/>
          <w:numId w:val="36"/>
        </w:numPr>
      </w:pPr>
      <w:r>
        <w:t>Dealers: in charge of the sales, which will include in most cases the user receiver but also the subscription for the positioning service.</w:t>
      </w:r>
    </w:p>
    <w:p w14:paraId="7A3472B8" w14:textId="7BD4328E" w:rsidR="004A6AB8" w:rsidRPr="004A6AB8" w:rsidRDefault="004A6AB8" w:rsidP="004A6AB8">
      <w:pPr>
        <w:pStyle w:val="BodyText"/>
      </w:pPr>
      <w:r w:rsidRPr="004A6AB8">
        <w:t xml:space="preserve">Thanks to this exercise some relevant common elements to the commercial services in the market, essential to understand the dynamics of the </w:t>
      </w:r>
      <w:r w:rsidR="008C5230">
        <w:t>off-shore</w:t>
      </w:r>
      <w:r w:rsidRPr="004A6AB8">
        <w:t xml:space="preserve"> Oil &amp; Gas market could be identified:</w:t>
      </w:r>
    </w:p>
    <w:p w14:paraId="49220284" w14:textId="77777777" w:rsidR="004A6AB8" w:rsidRPr="004A6AB8" w:rsidRDefault="004A6AB8" w:rsidP="00E34581">
      <w:pPr>
        <w:pStyle w:val="BodyText"/>
        <w:numPr>
          <w:ilvl w:val="0"/>
          <w:numId w:val="36"/>
        </w:numPr>
      </w:pPr>
      <w:r w:rsidRPr="004A6AB8">
        <w:t>All commercial service providers (PPP and/or high accuracy DGNSS based) develop their own proprietary algorithms for the generation of the products (PPP/DGNSS corrections), which are then distributed over a non-public ICD for signal access control reasons (enabling them to charge for the access).</w:t>
      </w:r>
    </w:p>
    <w:p w14:paraId="38C75D97" w14:textId="77777777" w:rsidR="004A6AB8" w:rsidRPr="004A6AB8" w:rsidRDefault="004A6AB8" w:rsidP="00E34581">
      <w:pPr>
        <w:pStyle w:val="BodyText"/>
        <w:numPr>
          <w:ilvl w:val="0"/>
          <w:numId w:val="36"/>
        </w:numPr>
      </w:pPr>
      <w:r w:rsidRPr="004A6AB8">
        <w:t>All commercial service providers count on a proprietary network of reference stations distributed worldwide.</w:t>
      </w:r>
    </w:p>
    <w:p w14:paraId="535E4950" w14:textId="77777777" w:rsidR="004A6AB8" w:rsidRPr="004A6AB8" w:rsidRDefault="004A6AB8" w:rsidP="00E34581">
      <w:pPr>
        <w:pStyle w:val="BodyText"/>
        <w:numPr>
          <w:ilvl w:val="0"/>
          <w:numId w:val="36"/>
        </w:numPr>
      </w:pPr>
      <w:r w:rsidRPr="004A6AB8">
        <w:t>All commercial service providers use GEO satellites (6-8) as primary broadcast means for their corrections.</w:t>
      </w:r>
    </w:p>
    <w:p w14:paraId="632F6BA2" w14:textId="77777777" w:rsidR="004A6AB8" w:rsidRPr="004A6AB8" w:rsidRDefault="004A6AB8" w:rsidP="00E34581">
      <w:pPr>
        <w:pStyle w:val="BodyText"/>
        <w:numPr>
          <w:ilvl w:val="0"/>
          <w:numId w:val="36"/>
        </w:numPr>
      </w:pPr>
      <w:r w:rsidRPr="004A6AB8">
        <w:t>As back-up solution, all commercial service providers rely on an external reference stations network provided by the same third party.</w:t>
      </w:r>
    </w:p>
    <w:p w14:paraId="2D41236F" w14:textId="77777777" w:rsidR="004A6AB8" w:rsidRPr="004A6AB8" w:rsidRDefault="004A6AB8" w:rsidP="00E34581">
      <w:pPr>
        <w:pStyle w:val="BodyText"/>
        <w:numPr>
          <w:ilvl w:val="0"/>
          <w:numId w:val="36"/>
        </w:numPr>
      </w:pPr>
      <w:r w:rsidRPr="004A6AB8">
        <w:t xml:space="preserve">All commercial service providers offer services based on dual-frequency multi-constellation. </w:t>
      </w:r>
    </w:p>
    <w:p w14:paraId="768190C9" w14:textId="7AB611E8" w:rsidR="004A6AB8" w:rsidRPr="004A6AB8" w:rsidRDefault="004A6AB8" w:rsidP="00E34581">
      <w:pPr>
        <w:pStyle w:val="BodyText"/>
        <w:numPr>
          <w:ilvl w:val="0"/>
          <w:numId w:val="36"/>
        </w:numPr>
      </w:pPr>
      <w:r w:rsidRPr="004A6AB8">
        <w:t xml:space="preserve">All commercial service providers rely on exclusive agreements with receiver manufacturers for the user equipment and subscription commercialisation. </w:t>
      </w:r>
    </w:p>
    <w:p w14:paraId="118293EE" w14:textId="55C17E16" w:rsidR="00964888" w:rsidRPr="00E34581" w:rsidRDefault="000F0554" w:rsidP="00E34581">
      <w:pPr>
        <w:pStyle w:val="Heading1"/>
        <w:numPr>
          <w:ilvl w:val="0"/>
          <w:numId w:val="38"/>
        </w:numPr>
      </w:pPr>
      <w:r w:rsidRPr="00E34581">
        <w:t xml:space="preserve">Market status </w:t>
      </w:r>
    </w:p>
    <w:p w14:paraId="34DA9617" w14:textId="106ACCD4" w:rsidR="00960904" w:rsidRDefault="00BD723D" w:rsidP="00960904">
      <w:pPr>
        <w:pStyle w:val="BodyText"/>
      </w:pPr>
      <w:r w:rsidRPr="004A6AB8">
        <w:t xml:space="preserve">According to the analysis methodology, the next phase was devoted to the analysis of the off-shore Oil &amp; Gas market. Such </w:t>
      </w:r>
      <w:r w:rsidR="00177AC2">
        <w:t>assessment</w:t>
      </w:r>
      <w:r w:rsidR="00177AC2" w:rsidRPr="004A6AB8">
        <w:t xml:space="preserve"> </w:t>
      </w:r>
      <w:r w:rsidR="00A17191">
        <w:t xml:space="preserve">began with the study of main </w:t>
      </w:r>
      <w:r w:rsidR="0059416F">
        <w:t>Oil &amp; Gas operations. T</w:t>
      </w:r>
      <w:r w:rsidRPr="004A6AB8">
        <w:t xml:space="preserve">he different phases of the Oil &amp; Gas production cycle have been described, paying special attention to the identification of performance requirements for potential GNSS services to be used in this market. This exercise allowed understanding that the applications </w:t>
      </w:r>
      <w:r w:rsidR="00B95CAB">
        <w:t xml:space="preserve">accuracy </w:t>
      </w:r>
      <w:r w:rsidRPr="004A6AB8">
        <w:t xml:space="preserve">requirements are quite variable (from 10 m to 0.1 m). </w:t>
      </w:r>
    </w:p>
    <w:p w14:paraId="5A1D708A" w14:textId="2E9930B1" w:rsidR="00B95CAB" w:rsidRDefault="00B95CAB" w:rsidP="00B95CAB">
      <w:pPr>
        <w:pStyle w:val="BodyText"/>
      </w:pPr>
      <w:r w:rsidRPr="00B95CAB">
        <w:t xml:space="preserve">The following table summarizes the position accuracy requirements </w:t>
      </w:r>
      <w:r>
        <w:fldChar w:fldCharType="begin"/>
      </w:r>
      <w:r>
        <w:instrText xml:space="preserve"> REF _Ref474848198 \r \h </w:instrText>
      </w:r>
      <w:r>
        <w:fldChar w:fldCharType="separate"/>
      </w:r>
      <w:r w:rsidR="00D9725E">
        <w:t>[3]</w:t>
      </w:r>
      <w:r>
        <w:fldChar w:fldCharType="end"/>
      </w:r>
      <w:r w:rsidRPr="00B95CAB">
        <w:t xml:space="preserve"> for the identified Oil &amp; Gas applications (both in upstream and downstream segments):</w:t>
      </w:r>
    </w:p>
    <w:p w14:paraId="13E0B516" w14:textId="77777777" w:rsidR="00B95CAB" w:rsidRPr="007A395D" w:rsidRDefault="00B95CAB" w:rsidP="00B95CAB">
      <w:pPr>
        <w:pStyle w:val="BodyText"/>
      </w:pPr>
    </w:p>
    <w:p w14:paraId="454D5E2E" w14:textId="08F84344" w:rsidR="00B95CAB" w:rsidRPr="00B95CAB" w:rsidRDefault="00B95CAB" w:rsidP="00B95CAB">
      <w:pPr>
        <w:pStyle w:val="Table"/>
      </w:pPr>
      <w:bookmarkStart w:id="10" w:name="_Ref474854232"/>
      <w:r w:rsidRPr="00B95CAB">
        <w:rPr>
          <w:rFonts w:ascii="Calibri" w:hAnsi="Calibri"/>
        </w:rPr>
        <w:t>Position accuracy requirements for upstream and downstream Oil &amp; Gas applications</w:t>
      </w:r>
      <w:bookmarkEnd w:id="10"/>
    </w:p>
    <w:tbl>
      <w:tblPr>
        <w:tblStyle w:val="TableGrid"/>
        <w:tblW w:w="0" w:type="auto"/>
        <w:jc w:val="center"/>
        <w:tblLook w:val="04A0" w:firstRow="1" w:lastRow="0" w:firstColumn="1" w:lastColumn="0" w:noHBand="0" w:noVBand="1"/>
      </w:tblPr>
      <w:tblGrid>
        <w:gridCol w:w="1368"/>
        <w:gridCol w:w="1796"/>
        <w:gridCol w:w="5224"/>
        <w:gridCol w:w="1168"/>
      </w:tblGrid>
      <w:tr w:rsidR="00B95CAB" w:rsidRPr="00B95CAB" w14:paraId="5A5B43E3" w14:textId="77777777" w:rsidTr="00B95CAB">
        <w:trPr>
          <w:cantSplit/>
          <w:trHeight w:val="454"/>
          <w:tblHeader/>
          <w:jc w:val="center"/>
        </w:trPr>
        <w:tc>
          <w:tcPr>
            <w:tcW w:w="1368" w:type="dxa"/>
            <w:shd w:val="clear" w:color="auto" w:fill="0070C0"/>
            <w:vAlign w:val="center"/>
          </w:tcPr>
          <w:p w14:paraId="3673338D" w14:textId="77777777" w:rsidR="00B95CAB" w:rsidRPr="00B95CAB" w:rsidRDefault="00B95CAB" w:rsidP="00B95CAB">
            <w:pPr>
              <w:pStyle w:val="BodyText"/>
              <w:rPr>
                <w:b/>
                <w:color w:val="FFFFFF" w:themeColor="background1"/>
              </w:rPr>
            </w:pPr>
            <w:r w:rsidRPr="00B95CAB">
              <w:rPr>
                <w:b/>
                <w:color w:val="FFFFFF" w:themeColor="background1"/>
              </w:rPr>
              <w:t>Segment</w:t>
            </w:r>
          </w:p>
        </w:tc>
        <w:tc>
          <w:tcPr>
            <w:tcW w:w="1796" w:type="dxa"/>
            <w:shd w:val="clear" w:color="auto" w:fill="0070C0"/>
            <w:vAlign w:val="center"/>
          </w:tcPr>
          <w:p w14:paraId="7C8D84C1" w14:textId="77777777" w:rsidR="00B95CAB" w:rsidRPr="00B95CAB" w:rsidRDefault="00B95CAB" w:rsidP="00B95CAB">
            <w:pPr>
              <w:pStyle w:val="BodyText"/>
              <w:rPr>
                <w:b/>
                <w:color w:val="FFFFFF" w:themeColor="background1"/>
              </w:rPr>
            </w:pPr>
            <w:r w:rsidRPr="00B95CAB">
              <w:rPr>
                <w:b/>
                <w:color w:val="FFFFFF" w:themeColor="background1"/>
              </w:rPr>
              <w:t>Phase</w:t>
            </w:r>
          </w:p>
        </w:tc>
        <w:tc>
          <w:tcPr>
            <w:tcW w:w="5224" w:type="dxa"/>
            <w:shd w:val="clear" w:color="auto" w:fill="0070C0"/>
            <w:vAlign w:val="center"/>
          </w:tcPr>
          <w:p w14:paraId="5C2AECD4" w14:textId="77777777" w:rsidR="00B95CAB" w:rsidRPr="00B95CAB" w:rsidRDefault="00B95CAB" w:rsidP="00B95CAB">
            <w:pPr>
              <w:pStyle w:val="BodyText"/>
              <w:rPr>
                <w:b/>
                <w:color w:val="FFFFFF" w:themeColor="background1"/>
              </w:rPr>
            </w:pPr>
            <w:r w:rsidRPr="00B95CAB">
              <w:rPr>
                <w:b/>
                <w:color w:val="FFFFFF" w:themeColor="background1"/>
              </w:rPr>
              <w:t>Application</w:t>
            </w:r>
          </w:p>
        </w:tc>
        <w:tc>
          <w:tcPr>
            <w:tcW w:w="1015" w:type="dxa"/>
            <w:shd w:val="clear" w:color="auto" w:fill="0070C0"/>
            <w:vAlign w:val="center"/>
          </w:tcPr>
          <w:p w14:paraId="75CC5FA6" w14:textId="77777777" w:rsidR="00B95CAB" w:rsidRPr="00B95CAB" w:rsidRDefault="00B95CAB" w:rsidP="00B95CAB">
            <w:pPr>
              <w:pStyle w:val="BodyText"/>
              <w:rPr>
                <w:b/>
                <w:color w:val="FFFFFF" w:themeColor="background1"/>
              </w:rPr>
            </w:pPr>
            <w:r w:rsidRPr="00B95CAB">
              <w:rPr>
                <w:b/>
                <w:color w:val="FFFFFF" w:themeColor="background1"/>
              </w:rPr>
              <w:t>Horizontal accuracy</w:t>
            </w:r>
          </w:p>
        </w:tc>
      </w:tr>
      <w:tr w:rsidR="00B95CAB" w:rsidRPr="00B95CAB" w14:paraId="5F174AA0" w14:textId="77777777" w:rsidTr="00B95CAB">
        <w:trPr>
          <w:cantSplit/>
          <w:trHeight w:val="315"/>
          <w:jc w:val="center"/>
        </w:trPr>
        <w:tc>
          <w:tcPr>
            <w:tcW w:w="1368" w:type="dxa"/>
            <w:vMerge w:val="restart"/>
            <w:shd w:val="clear" w:color="auto" w:fill="F2F2F2" w:themeFill="background1" w:themeFillShade="F2"/>
            <w:vAlign w:val="center"/>
          </w:tcPr>
          <w:p w14:paraId="7A48402A" w14:textId="77777777" w:rsidR="00B95CAB" w:rsidRPr="00B95CAB" w:rsidRDefault="00B95CAB" w:rsidP="00B95CAB">
            <w:pPr>
              <w:pStyle w:val="BodyText"/>
            </w:pPr>
            <w:r w:rsidRPr="00B95CAB">
              <w:t>Upstream</w:t>
            </w:r>
          </w:p>
        </w:tc>
        <w:tc>
          <w:tcPr>
            <w:tcW w:w="1796" w:type="dxa"/>
            <w:vMerge w:val="restart"/>
            <w:shd w:val="clear" w:color="auto" w:fill="FFFFFF" w:themeFill="background1"/>
            <w:vAlign w:val="center"/>
          </w:tcPr>
          <w:p w14:paraId="40D29041" w14:textId="77777777" w:rsidR="00B95CAB" w:rsidRPr="00B95CAB" w:rsidRDefault="00B95CAB" w:rsidP="00B95CAB">
            <w:pPr>
              <w:pStyle w:val="BodyText"/>
            </w:pPr>
            <w:r w:rsidRPr="00B95CAB">
              <w:t>Exploration</w:t>
            </w:r>
          </w:p>
        </w:tc>
        <w:tc>
          <w:tcPr>
            <w:tcW w:w="5224" w:type="dxa"/>
            <w:shd w:val="clear" w:color="auto" w:fill="FFFFFF" w:themeFill="background1"/>
            <w:vAlign w:val="center"/>
          </w:tcPr>
          <w:p w14:paraId="68F4F756" w14:textId="3A24ACCB" w:rsidR="00B95CAB" w:rsidRPr="00B95CAB" w:rsidRDefault="00B95CAB" w:rsidP="00B95CAB">
            <w:pPr>
              <w:pStyle w:val="BodyText"/>
            </w:pPr>
            <w:r w:rsidRPr="00B95CAB">
              <w:t xml:space="preserve">Survey of </w:t>
            </w:r>
            <w:r w:rsidR="008C5230">
              <w:t>off-shore</w:t>
            </w:r>
            <w:r w:rsidRPr="00B95CAB">
              <w:t xml:space="preserve"> areas to identify prospective petroleum field</w:t>
            </w:r>
          </w:p>
        </w:tc>
        <w:tc>
          <w:tcPr>
            <w:tcW w:w="1015" w:type="dxa"/>
            <w:vAlign w:val="center"/>
          </w:tcPr>
          <w:p w14:paraId="18C18366" w14:textId="77777777" w:rsidR="00B95CAB" w:rsidRPr="00B95CAB" w:rsidRDefault="00B95CAB" w:rsidP="00B95CAB">
            <w:pPr>
              <w:pStyle w:val="BodyText"/>
            </w:pPr>
            <w:r w:rsidRPr="00B95CAB">
              <w:t>1-2 m</w:t>
            </w:r>
          </w:p>
        </w:tc>
      </w:tr>
      <w:tr w:rsidR="00B95CAB" w:rsidRPr="00B95CAB" w14:paraId="1972C698" w14:textId="77777777" w:rsidTr="00B95CAB">
        <w:trPr>
          <w:cantSplit/>
          <w:trHeight w:val="315"/>
          <w:jc w:val="center"/>
        </w:trPr>
        <w:tc>
          <w:tcPr>
            <w:tcW w:w="1368" w:type="dxa"/>
            <w:vMerge/>
            <w:shd w:val="clear" w:color="auto" w:fill="F2F2F2" w:themeFill="background1" w:themeFillShade="F2"/>
            <w:vAlign w:val="center"/>
          </w:tcPr>
          <w:p w14:paraId="1B96D390" w14:textId="77777777" w:rsidR="00B95CAB" w:rsidRPr="00B95CAB" w:rsidRDefault="00B95CAB" w:rsidP="00B95CAB">
            <w:pPr>
              <w:pStyle w:val="BodyText"/>
            </w:pPr>
          </w:p>
        </w:tc>
        <w:tc>
          <w:tcPr>
            <w:tcW w:w="1796" w:type="dxa"/>
            <w:vMerge/>
            <w:shd w:val="clear" w:color="auto" w:fill="FFFFFF" w:themeFill="background1"/>
            <w:vAlign w:val="center"/>
          </w:tcPr>
          <w:p w14:paraId="043F0353" w14:textId="77777777" w:rsidR="00B95CAB" w:rsidRPr="00B95CAB" w:rsidRDefault="00B95CAB" w:rsidP="00B95CAB">
            <w:pPr>
              <w:pStyle w:val="BodyText"/>
            </w:pPr>
          </w:p>
        </w:tc>
        <w:tc>
          <w:tcPr>
            <w:tcW w:w="5224" w:type="dxa"/>
            <w:shd w:val="clear" w:color="auto" w:fill="FFFFFF" w:themeFill="background1"/>
            <w:vAlign w:val="center"/>
          </w:tcPr>
          <w:p w14:paraId="006F29A0" w14:textId="7085E990" w:rsidR="00B95CAB" w:rsidRPr="00B95CAB" w:rsidRDefault="00B95CAB" w:rsidP="003959BC">
            <w:pPr>
              <w:pStyle w:val="BodyText"/>
            </w:pPr>
            <w:r w:rsidRPr="00B95CAB">
              <w:t>Precise positioning of every geological structure</w:t>
            </w:r>
          </w:p>
        </w:tc>
        <w:tc>
          <w:tcPr>
            <w:tcW w:w="1015" w:type="dxa"/>
            <w:vMerge w:val="restart"/>
            <w:vAlign w:val="center"/>
          </w:tcPr>
          <w:p w14:paraId="439C8184" w14:textId="77777777" w:rsidR="00B95CAB" w:rsidRPr="00B95CAB" w:rsidRDefault="00B95CAB" w:rsidP="00B95CAB">
            <w:pPr>
              <w:pStyle w:val="BodyText"/>
            </w:pPr>
            <w:r w:rsidRPr="00B95CAB">
              <w:t>&lt; 1 m</w:t>
            </w:r>
          </w:p>
        </w:tc>
      </w:tr>
      <w:tr w:rsidR="00B95CAB" w:rsidRPr="00B95CAB" w14:paraId="7E3DABAA" w14:textId="77777777" w:rsidTr="00FB098F">
        <w:trPr>
          <w:cantSplit/>
          <w:trHeight w:val="433"/>
          <w:jc w:val="center"/>
        </w:trPr>
        <w:tc>
          <w:tcPr>
            <w:tcW w:w="1368" w:type="dxa"/>
            <w:vMerge/>
            <w:shd w:val="clear" w:color="auto" w:fill="F2F2F2" w:themeFill="background1" w:themeFillShade="F2"/>
            <w:vAlign w:val="center"/>
          </w:tcPr>
          <w:p w14:paraId="63396D90" w14:textId="77777777" w:rsidR="00B95CAB" w:rsidRPr="00B95CAB" w:rsidRDefault="00B95CAB" w:rsidP="00B95CAB">
            <w:pPr>
              <w:pStyle w:val="BodyText"/>
            </w:pPr>
          </w:p>
        </w:tc>
        <w:tc>
          <w:tcPr>
            <w:tcW w:w="1796" w:type="dxa"/>
            <w:vMerge/>
            <w:shd w:val="clear" w:color="auto" w:fill="FFFFFF" w:themeFill="background1"/>
            <w:vAlign w:val="center"/>
          </w:tcPr>
          <w:p w14:paraId="2D2D1DEE" w14:textId="77777777" w:rsidR="00B95CAB" w:rsidRPr="00B95CAB" w:rsidRDefault="00B95CAB" w:rsidP="00B95CAB">
            <w:pPr>
              <w:pStyle w:val="BodyText"/>
            </w:pPr>
          </w:p>
        </w:tc>
        <w:tc>
          <w:tcPr>
            <w:tcW w:w="5224" w:type="dxa"/>
            <w:shd w:val="clear" w:color="auto" w:fill="FFFFFF" w:themeFill="background1"/>
            <w:vAlign w:val="center"/>
          </w:tcPr>
          <w:p w14:paraId="36E20D87" w14:textId="77777777" w:rsidR="00B95CAB" w:rsidRPr="00B95CAB" w:rsidRDefault="00B95CAB" w:rsidP="00B95CAB">
            <w:pPr>
              <w:pStyle w:val="BodyText"/>
            </w:pPr>
            <w:r w:rsidRPr="00B95CAB">
              <w:t>Seismic vehicle guidance</w:t>
            </w:r>
          </w:p>
        </w:tc>
        <w:tc>
          <w:tcPr>
            <w:tcW w:w="1015" w:type="dxa"/>
            <w:vMerge/>
            <w:vAlign w:val="center"/>
          </w:tcPr>
          <w:p w14:paraId="192DB442" w14:textId="77777777" w:rsidR="00B95CAB" w:rsidRPr="00B95CAB" w:rsidRDefault="00B95CAB" w:rsidP="00B95CAB">
            <w:pPr>
              <w:pStyle w:val="BodyText"/>
            </w:pPr>
          </w:p>
        </w:tc>
      </w:tr>
      <w:tr w:rsidR="00B95CAB" w:rsidRPr="00B95CAB" w14:paraId="4F1E073A" w14:textId="77777777" w:rsidTr="00FB098F">
        <w:trPr>
          <w:cantSplit/>
          <w:trHeight w:val="452"/>
          <w:jc w:val="center"/>
        </w:trPr>
        <w:tc>
          <w:tcPr>
            <w:tcW w:w="1368" w:type="dxa"/>
            <w:vMerge/>
            <w:shd w:val="clear" w:color="auto" w:fill="F2F2F2" w:themeFill="background1" w:themeFillShade="F2"/>
            <w:vAlign w:val="center"/>
          </w:tcPr>
          <w:p w14:paraId="1EEF9A03" w14:textId="77777777" w:rsidR="00B95CAB" w:rsidRPr="00B95CAB" w:rsidRDefault="00B95CAB" w:rsidP="00B95CAB">
            <w:pPr>
              <w:pStyle w:val="BodyText"/>
            </w:pPr>
          </w:p>
        </w:tc>
        <w:tc>
          <w:tcPr>
            <w:tcW w:w="1796" w:type="dxa"/>
            <w:vMerge/>
            <w:shd w:val="clear" w:color="auto" w:fill="FFFFFF" w:themeFill="background1"/>
            <w:vAlign w:val="center"/>
          </w:tcPr>
          <w:p w14:paraId="68F4254D" w14:textId="77777777" w:rsidR="00B95CAB" w:rsidRPr="00B95CAB" w:rsidRDefault="00B95CAB" w:rsidP="00B95CAB">
            <w:pPr>
              <w:pStyle w:val="BodyText"/>
            </w:pPr>
          </w:p>
        </w:tc>
        <w:tc>
          <w:tcPr>
            <w:tcW w:w="5224" w:type="dxa"/>
            <w:shd w:val="clear" w:color="auto" w:fill="FFFFFF" w:themeFill="background1"/>
            <w:vAlign w:val="center"/>
          </w:tcPr>
          <w:p w14:paraId="7947EE5C" w14:textId="5C5E2BBA" w:rsidR="00B95CAB" w:rsidRPr="00B95CAB" w:rsidRDefault="003959BC" w:rsidP="00B95CAB">
            <w:pPr>
              <w:pStyle w:val="BodyText"/>
            </w:pPr>
            <w:r>
              <w:t>C</w:t>
            </w:r>
            <w:r w:rsidR="00B95CAB" w:rsidRPr="00B95CAB">
              <w:t>ontinuous monitoring to simplify seismic takeout</w:t>
            </w:r>
          </w:p>
        </w:tc>
        <w:tc>
          <w:tcPr>
            <w:tcW w:w="1015" w:type="dxa"/>
            <w:vMerge/>
            <w:vAlign w:val="center"/>
          </w:tcPr>
          <w:p w14:paraId="57903522" w14:textId="77777777" w:rsidR="00B95CAB" w:rsidRPr="00B95CAB" w:rsidRDefault="00B95CAB" w:rsidP="00B95CAB">
            <w:pPr>
              <w:pStyle w:val="BodyText"/>
            </w:pPr>
          </w:p>
        </w:tc>
      </w:tr>
      <w:tr w:rsidR="00B95CAB" w:rsidRPr="00B95CAB" w14:paraId="7C42ACD6" w14:textId="77777777" w:rsidTr="00FB098F">
        <w:trPr>
          <w:cantSplit/>
          <w:trHeight w:val="452"/>
          <w:jc w:val="center"/>
        </w:trPr>
        <w:tc>
          <w:tcPr>
            <w:tcW w:w="1368" w:type="dxa"/>
            <w:vMerge/>
            <w:shd w:val="clear" w:color="auto" w:fill="F2F2F2" w:themeFill="background1" w:themeFillShade="F2"/>
            <w:vAlign w:val="center"/>
          </w:tcPr>
          <w:p w14:paraId="4E0828DE" w14:textId="77777777" w:rsidR="00B95CAB" w:rsidRPr="00B95CAB" w:rsidRDefault="00B95CAB" w:rsidP="00B95CAB">
            <w:pPr>
              <w:pStyle w:val="BodyText"/>
            </w:pPr>
          </w:p>
        </w:tc>
        <w:tc>
          <w:tcPr>
            <w:tcW w:w="1796" w:type="dxa"/>
            <w:vMerge/>
            <w:shd w:val="clear" w:color="auto" w:fill="FFFFFF" w:themeFill="background1"/>
            <w:vAlign w:val="center"/>
          </w:tcPr>
          <w:p w14:paraId="2A149C99" w14:textId="77777777" w:rsidR="00B95CAB" w:rsidRPr="00B95CAB" w:rsidRDefault="00B95CAB" w:rsidP="00B95CAB">
            <w:pPr>
              <w:pStyle w:val="BodyText"/>
            </w:pPr>
          </w:p>
        </w:tc>
        <w:tc>
          <w:tcPr>
            <w:tcW w:w="5224" w:type="dxa"/>
            <w:shd w:val="clear" w:color="auto" w:fill="FFFFFF" w:themeFill="background1"/>
            <w:vAlign w:val="center"/>
          </w:tcPr>
          <w:p w14:paraId="73C86C26" w14:textId="2728ED81" w:rsidR="00B95CAB" w:rsidRPr="00B95CAB" w:rsidRDefault="00B95CAB" w:rsidP="003959BC">
            <w:pPr>
              <w:pStyle w:val="BodyText"/>
            </w:pPr>
            <w:r w:rsidRPr="00B95CAB">
              <w:t xml:space="preserve">Confirming that location is suitable </w:t>
            </w:r>
          </w:p>
        </w:tc>
        <w:tc>
          <w:tcPr>
            <w:tcW w:w="1015" w:type="dxa"/>
            <w:vMerge/>
            <w:vAlign w:val="center"/>
          </w:tcPr>
          <w:p w14:paraId="6AE9F473" w14:textId="77777777" w:rsidR="00B95CAB" w:rsidRPr="00B95CAB" w:rsidRDefault="00B95CAB" w:rsidP="00B95CAB">
            <w:pPr>
              <w:pStyle w:val="BodyText"/>
            </w:pPr>
          </w:p>
        </w:tc>
      </w:tr>
      <w:tr w:rsidR="00B95CAB" w:rsidRPr="00B95CAB" w14:paraId="3290AB5E" w14:textId="77777777" w:rsidTr="00B95CAB">
        <w:trPr>
          <w:cantSplit/>
          <w:trHeight w:val="327"/>
          <w:jc w:val="center"/>
        </w:trPr>
        <w:tc>
          <w:tcPr>
            <w:tcW w:w="1368" w:type="dxa"/>
            <w:vMerge/>
            <w:shd w:val="clear" w:color="auto" w:fill="F2F2F2" w:themeFill="background1" w:themeFillShade="F2"/>
            <w:vAlign w:val="center"/>
          </w:tcPr>
          <w:p w14:paraId="24ED8029" w14:textId="77777777" w:rsidR="00B95CAB" w:rsidRPr="00B95CAB" w:rsidRDefault="00B95CAB" w:rsidP="00B95CAB">
            <w:pPr>
              <w:pStyle w:val="BodyText"/>
            </w:pPr>
          </w:p>
        </w:tc>
        <w:tc>
          <w:tcPr>
            <w:tcW w:w="1796" w:type="dxa"/>
            <w:vMerge w:val="restart"/>
            <w:shd w:val="clear" w:color="auto" w:fill="FFFFFF" w:themeFill="background1"/>
            <w:vAlign w:val="center"/>
          </w:tcPr>
          <w:p w14:paraId="465A6675" w14:textId="77777777" w:rsidR="00B95CAB" w:rsidRPr="00B95CAB" w:rsidRDefault="00B95CAB" w:rsidP="00B95CAB">
            <w:pPr>
              <w:pStyle w:val="BodyText"/>
            </w:pPr>
            <w:r w:rsidRPr="00B95CAB">
              <w:t>Development</w:t>
            </w:r>
          </w:p>
        </w:tc>
        <w:tc>
          <w:tcPr>
            <w:tcW w:w="5224" w:type="dxa"/>
            <w:shd w:val="clear" w:color="auto" w:fill="FFFFFF" w:themeFill="background1"/>
            <w:vAlign w:val="center"/>
          </w:tcPr>
          <w:p w14:paraId="15196DE0" w14:textId="682C3FC2" w:rsidR="00B95CAB" w:rsidRPr="00B95CAB" w:rsidRDefault="00B95CAB" w:rsidP="003959BC">
            <w:pPr>
              <w:pStyle w:val="BodyText"/>
            </w:pPr>
            <w:r w:rsidRPr="00B95CAB">
              <w:t>Construction of subsea structures</w:t>
            </w:r>
          </w:p>
        </w:tc>
        <w:tc>
          <w:tcPr>
            <w:tcW w:w="1015" w:type="dxa"/>
            <w:vAlign w:val="center"/>
          </w:tcPr>
          <w:p w14:paraId="0B98D5E9" w14:textId="77777777" w:rsidR="00B95CAB" w:rsidRPr="00B95CAB" w:rsidRDefault="00B95CAB" w:rsidP="00B95CAB">
            <w:pPr>
              <w:pStyle w:val="BodyText"/>
            </w:pPr>
            <w:r w:rsidRPr="00B95CAB">
              <w:t>1 m</w:t>
            </w:r>
          </w:p>
        </w:tc>
      </w:tr>
      <w:tr w:rsidR="00B95CAB" w:rsidRPr="00B95CAB" w14:paraId="24D6A320" w14:textId="77777777" w:rsidTr="00B95CAB">
        <w:trPr>
          <w:cantSplit/>
          <w:trHeight w:val="327"/>
          <w:jc w:val="center"/>
        </w:trPr>
        <w:tc>
          <w:tcPr>
            <w:tcW w:w="1368" w:type="dxa"/>
            <w:vMerge/>
            <w:shd w:val="clear" w:color="auto" w:fill="F2F2F2" w:themeFill="background1" w:themeFillShade="F2"/>
            <w:vAlign w:val="center"/>
          </w:tcPr>
          <w:p w14:paraId="730B0219" w14:textId="77777777" w:rsidR="00B95CAB" w:rsidRPr="00B95CAB" w:rsidRDefault="00B95CAB" w:rsidP="00B95CAB">
            <w:pPr>
              <w:pStyle w:val="BodyText"/>
            </w:pPr>
          </w:p>
        </w:tc>
        <w:tc>
          <w:tcPr>
            <w:tcW w:w="1796" w:type="dxa"/>
            <w:vMerge/>
            <w:shd w:val="clear" w:color="auto" w:fill="FFFFFF" w:themeFill="background1"/>
            <w:vAlign w:val="center"/>
          </w:tcPr>
          <w:p w14:paraId="085C67D4" w14:textId="77777777" w:rsidR="00B95CAB" w:rsidRPr="00B95CAB" w:rsidRDefault="00B95CAB" w:rsidP="00B95CAB">
            <w:pPr>
              <w:pStyle w:val="BodyText"/>
            </w:pPr>
          </w:p>
        </w:tc>
        <w:tc>
          <w:tcPr>
            <w:tcW w:w="5224" w:type="dxa"/>
            <w:shd w:val="clear" w:color="auto" w:fill="FFFFFF" w:themeFill="background1"/>
            <w:vAlign w:val="center"/>
          </w:tcPr>
          <w:p w14:paraId="5C07F579" w14:textId="0496E3C6" w:rsidR="00B95CAB" w:rsidRPr="00B95CAB" w:rsidRDefault="00B95CAB" w:rsidP="003959BC">
            <w:pPr>
              <w:pStyle w:val="BodyText"/>
            </w:pPr>
            <w:r w:rsidRPr="00B95CAB">
              <w:t xml:space="preserve">Installation of Drilling Rigs </w:t>
            </w:r>
          </w:p>
        </w:tc>
        <w:tc>
          <w:tcPr>
            <w:tcW w:w="1015" w:type="dxa"/>
            <w:vMerge w:val="restart"/>
            <w:vAlign w:val="center"/>
          </w:tcPr>
          <w:p w14:paraId="38610B68" w14:textId="77777777" w:rsidR="00B95CAB" w:rsidRPr="00B95CAB" w:rsidRDefault="00B95CAB" w:rsidP="00B95CAB">
            <w:pPr>
              <w:pStyle w:val="BodyText"/>
            </w:pPr>
            <w:r w:rsidRPr="00B95CAB">
              <w:t>10 cm</w:t>
            </w:r>
          </w:p>
        </w:tc>
      </w:tr>
      <w:tr w:rsidR="00B95CAB" w:rsidRPr="00B95CAB" w14:paraId="559D6AB4" w14:textId="77777777" w:rsidTr="00B95CAB">
        <w:trPr>
          <w:cantSplit/>
          <w:trHeight w:val="327"/>
          <w:jc w:val="center"/>
        </w:trPr>
        <w:tc>
          <w:tcPr>
            <w:tcW w:w="1368" w:type="dxa"/>
            <w:vMerge/>
            <w:shd w:val="clear" w:color="auto" w:fill="F2F2F2" w:themeFill="background1" w:themeFillShade="F2"/>
            <w:vAlign w:val="center"/>
          </w:tcPr>
          <w:p w14:paraId="593CD233" w14:textId="77777777" w:rsidR="00B95CAB" w:rsidRPr="00B95CAB" w:rsidRDefault="00B95CAB" w:rsidP="00B95CAB">
            <w:pPr>
              <w:pStyle w:val="BodyText"/>
            </w:pPr>
          </w:p>
        </w:tc>
        <w:tc>
          <w:tcPr>
            <w:tcW w:w="1796" w:type="dxa"/>
            <w:vMerge/>
            <w:shd w:val="clear" w:color="auto" w:fill="FFFFFF" w:themeFill="background1"/>
            <w:vAlign w:val="center"/>
          </w:tcPr>
          <w:p w14:paraId="0D58C4A0" w14:textId="77777777" w:rsidR="00B95CAB" w:rsidRPr="00B95CAB" w:rsidRDefault="00B95CAB" w:rsidP="00B95CAB">
            <w:pPr>
              <w:pStyle w:val="BodyText"/>
            </w:pPr>
          </w:p>
        </w:tc>
        <w:tc>
          <w:tcPr>
            <w:tcW w:w="5224" w:type="dxa"/>
            <w:shd w:val="clear" w:color="auto" w:fill="FFFFFF" w:themeFill="background1"/>
            <w:vAlign w:val="center"/>
          </w:tcPr>
          <w:p w14:paraId="217BD64A" w14:textId="77777777" w:rsidR="00B95CAB" w:rsidRPr="00B95CAB" w:rsidRDefault="00B95CAB" w:rsidP="00B95CAB">
            <w:pPr>
              <w:pStyle w:val="BodyText"/>
            </w:pPr>
            <w:r w:rsidRPr="00B95CAB">
              <w:t>Helping the asset tracking and management</w:t>
            </w:r>
          </w:p>
        </w:tc>
        <w:tc>
          <w:tcPr>
            <w:tcW w:w="1015" w:type="dxa"/>
            <w:vMerge/>
            <w:vAlign w:val="center"/>
          </w:tcPr>
          <w:p w14:paraId="26D89626" w14:textId="77777777" w:rsidR="00B95CAB" w:rsidRPr="00B95CAB" w:rsidRDefault="00B95CAB" w:rsidP="00B95CAB">
            <w:pPr>
              <w:pStyle w:val="BodyText"/>
            </w:pPr>
          </w:p>
        </w:tc>
      </w:tr>
      <w:tr w:rsidR="00B95CAB" w:rsidRPr="00B95CAB" w14:paraId="3FB6D5E7" w14:textId="77777777" w:rsidTr="00B95CAB">
        <w:trPr>
          <w:cantSplit/>
          <w:trHeight w:val="327"/>
          <w:jc w:val="center"/>
        </w:trPr>
        <w:tc>
          <w:tcPr>
            <w:tcW w:w="1368" w:type="dxa"/>
            <w:vMerge/>
            <w:shd w:val="clear" w:color="auto" w:fill="F2F2F2" w:themeFill="background1" w:themeFillShade="F2"/>
            <w:vAlign w:val="center"/>
          </w:tcPr>
          <w:p w14:paraId="131371B5" w14:textId="77777777" w:rsidR="00B95CAB" w:rsidRPr="00B95CAB" w:rsidRDefault="00B95CAB" w:rsidP="00B95CAB">
            <w:pPr>
              <w:pStyle w:val="BodyText"/>
            </w:pPr>
          </w:p>
        </w:tc>
        <w:tc>
          <w:tcPr>
            <w:tcW w:w="1796" w:type="dxa"/>
            <w:vMerge w:val="restart"/>
            <w:shd w:val="clear" w:color="auto" w:fill="FFFFFF" w:themeFill="background1"/>
            <w:vAlign w:val="center"/>
          </w:tcPr>
          <w:p w14:paraId="6BFDD8F6" w14:textId="77777777" w:rsidR="00B95CAB" w:rsidRPr="00B95CAB" w:rsidRDefault="00B95CAB" w:rsidP="00B95CAB">
            <w:pPr>
              <w:pStyle w:val="BodyText"/>
            </w:pPr>
            <w:r w:rsidRPr="00B95CAB">
              <w:t>Production</w:t>
            </w:r>
          </w:p>
        </w:tc>
        <w:tc>
          <w:tcPr>
            <w:tcW w:w="5224" w:type="dxa"/>
            <w:shd w:val="clear" w:color="auto" w:fill="FFFFFF" w:themeFill="background1"/>
            <w:vAlign w:val="center"/>
          </w:tcPr>
          <w:p w14:paraId="047935A7" w14:textId="77777777" w:rsidR="00B95CAB" w:rsidRPr="00B95CAB" w:rsidRDefault="00B95CAB" w:rsidP="00B95CAB">
            <w:pPr>
              <w:pStyle w:val="BodyText"/>
            </w:pPr>
            <w:r w:rsidRPr="00B95CAB">
              <w:t>Maintenance and supervision of subsea structures and wells</w:t>
            </w:r>
          </w:p>
        </w:tc>
        <w:tc>
          <w:tcPr>
            <w:tcW w:w="1015" w:type="dxa"/>
            <w:vMerge w:val="restart"/>
            <w:vAlign w:val="center"/>
          </w:tcPr>
          <w:p w14:paraId="390C0AE1" w14:textId="77777777" w:rsidR="00B95CAB" w:rsidRPr="00B95CAB" w:rsidRDefault="00B95CAB" w:rsidP="00B95CAB">
            <w:pPr>
              <w:pStyle w:val="BodyText"/>
            </w:pPr>
            <w:r w:rsidRPr="00B95CAB">
              <w:t>0.1–1 m</w:t>
            </w:r>
          </w:p>
        </w:tc>
      </w:tr>
      <w:tr w:rsidR="00B95CAB" w:rsidRPr="00B95CAB" w14:paraId="5E54BF81" w14:textId="77777777" w:rsidTr="00B95CAB">
        <w:trPr>
          <w:cantSplit/>
          <w:trHeight w:val="327"/>
          <w:jc w:val="center"/>
        </w:trPr>
        <w:tc>
          <w:tcPr>
            <w:tcW w:w="1368" w:type="dxa"/>
            <w:vMerge/>
            <w:shd w:val="clear" w:color="auto" w:fill="F2F2F2" w:themeFill="background1" w:themeFillShade="F2"/>
            <w:vAlign w:val="center"/>
          </w:tcPr>
          <w:p w14:paraId="6438E664" w14:textId="77777777" w:rsidR="00B95CAB" w:rsidRPr="00B95CAB" w:rsidRDefault="00B95CAB" w:rsidP="00B95CAB">
            <w:pPr>
              <w:pStyle w:val="BodyText"/>
            </w:pPr>
          </w:p>
        </w:tc>
        <w:tc>
          <w:tcPr>
            <w:tcW w:w="1796" w:type="dxa"/>
            <w:vMerge/>
            <w:shd w:val="clear" w:color="auto" w:fill="FFFFFF" w:themeFill="background1"/>
            <w:vAlign w:val="center"/>
          </w:tcPr>
          <w:p w14:paraId="75EB849C" w14:textId="77777777" w:rsidR="00B95CAB" w:rsidRPr="00B95CAB" w:rsidRDefault="00B95CAB" w:rsidP="00B95CAB">
            <w:pPr>
              <w:pStyle w:val="BodyText"/>
            </w:pPr>
          </w:p>
        </w:tc>
        <w:tc>
          <w:tcPr>
            <w:tcW w:w="5224" w:type="dxa"/>
            <w:shd w:val="clear" w:color="auto" w:fill="FFFFFF" w:themeFill="background1"/>
            <w:vAlign w:val="center"/>
          </w:tcPr>
          <w:p w14:paraId="674B3F4B" w14:textId="77777777" w:rsidR="00B95CAB" w:rsidRPr="00B95CAB" w:rsidRDefault="00B95CAB" w:rsidP="00B95CAB">
            <w:pPr>
              <w:pStyle w:val="BodyText"/>
            </w:pPr>
            <w:r w:rsidRPr="00B95CAB">
              <w:t>Management of FPSOs</w:t>
            </w:r>
          </w:p>
        </w:tc>
        <w:tc>
          <w:tcPr>
            <w:tcW w:w="1015" w:type="dxa"/>
            <w:vMerge/>
          </w:tcPr>
          <w:p w14:paraId="4CC80C5E" w14:textId="77777777" w:rsidR="00B95CAB" w:rsidRPr="00B95CAB" w:rsidRDefault="00B95CAB" w:rsidP="00B95CAB">
            <w:pPr>
              <w:pStyle w:val="BodyText"/>
            </w:pPr>
          </w:p>
        </w:tc>
      </w:tr>
      <w:tr w:rsidR="00B95CAB" w:rsidRPr="00B95CAB" w14:paraId="2ADDF7C0" w14:textId="77777777" w:rsidTr="00B95CAB">
        <w:trPr>
          <w:cantSplit/>
          <w:trHeight w:val="327"/>
          <w:jc w:val="center"/>
        </w:trPr>
        <w:tc>
          <w:tcPr>
            <w:tcW w:w="1368" w:type="dxa"/>
            <w:vMerge/>
            <w:shd w:val="clear" w:color="auto" w:fill="F2F2F2" w:themeFill="background1" w:themeFillShade="F2"/>
            <w:vAlign w:val="center"/>
          </w:tcPr>
          <w:p w14:paraId="74439AB1" w14:textId="77777777" w:rsidR="00B95CAB" w:rsidRPr="00B95CAB" w:rsidRDefault="00B95CAB" w:rsidP="00B95CAB">
            <w:pPr>
              <w:pStyle w:val="BodyText"/>
            </w:pPr>
          </w:p>
        </w:tc>
        <w:tc>
          <w:tcPr>
            <w:tcW w:w="1796" w:type="dxa"/>
            <w:vMerge w:val="restart"/>
            <w:shd w:val="clear" w:color="auto" w:fill="FFFFFF" w:themeFill="background1"/>
            <w:vAlign w:val="center"/>
          </w:tcPr>
          <w:p w14:paraId="6092688B" w14:textId="77777777" w:rsidR="00B95CAB" w:rsidRPr="00B95CAB" w:rsidRDefault="00B95CAB" w:rsidP="00B95CAB">
            <w:pPr>
              <w:pStyle w:val="BodyText"/>
            </w:pPr>
            <w:r w:rsidRPr="00B95CAB">
              <w:t>Decommissioning</w:t>
            </w:r>
          </w:p>
        </w:tc>
        <w:tc>
          <w:tcPr>
            <w:tcW w:w="5224" w:type="dxa"/>
            <w:shd w:val="clear" w:color="auto" w:fill="FFFFFF" w:themeFill="background1"/>
            <w:vAlign w:val="center"/>
          </w:tcPr>
          <w:p w14:paraId="6BC17A3B" w14:textId="77777777" w:rsidR="00B95CAB" w:rsidRPr="00B95CAB" w:rsidRDefault="00B95CAB" w:rsidP="00B95CAB">
            <w:pPr>
              <w:pStyle w:val="BodyText"/>
            </w:pPr>
            <w:r w:rsidRPr="00B95CAB">
              <w:t>Decommission of activities performed by dive vessels</w:t>
            </w:r>
          </w:p>
        </w:tc>
        <w:tc>
          <w:tcPr>
            <w:tcW w:w="1015" w:type="dxa"/>
            <w:vMerge w:val="restart"/>
            <w:vAlign w:val="center"/>
          </w:tcPr>
          <w:p w14:paraId="787B0C30" w14:textId="77777777" w:rsidR="00B95CAB" w:rsidRPr="00B95CAB" w:rsidRDefault="00B95CAB" w:rsidP="00B95CAB">
            <w:pPr>
              <w:pStyle w:val="BodyText"/>
            </w:pPr>
            <w:r w:rsidRPr="00B95CAB">
              <w:t>Ad-hoc per app.</w:t>
            </w:r>
          </w:p>
        </w:tc>
      </w:tr>
      <w:tr w:rsidR="00B95CAB" w:rsidRPr="00B95CAB" w14:paraId="2302434F" w14:textId="77777777" w:rsidTr="00B95CAB">
        <w:trPr>
          <w:cantSplit/>
          <w:trHeight w:val="327"/>
          <w:jc w:val="center"/>
        </w:trPr>
        <w:tc>
          <w:tcPr>
            <w:tcW w:w="1368" w:type="dxa"/>
            <w:vMerge/>
            <w:shd w:val="clear" w:color="auto" w:fill="F2F2F2" w:themeFill="background1" w:themeFillShade="F2"/>
            <w:vAlign w:val="center"/>
          </w:tcPr>
          <w:p w14:paraId="20764C0E" w14:textId="77777777" w:rsidR="00B95CAB" w:rsidRPr="00B95CAB" w:rsidRDefault="00B95CAB" w:rsidP="00B95CAB">
            <w:pPr>
              <w:pStyle w:val="BodyText"/>
            </w:pPr>
          </w:p>
        </w:tc>
        <w:tc>
          <w:tcPr>
            <w:tcW w:w="1796" w:type="dxa"/>
            <w:vMerge/>
            <w:shd w:val="clear" w:color="auto" w:fill="FFFFFF" w:themeFill="background1"/>
            <w:vAlign w:val="center"/>
          </w:tcPr>
          <w:p w14:paraId="75507D9D" w14:textId="77777777" w:rsidR="00B95CAB" w:rsidRPr="00B95CAB" w:rsidRDefault="00B95CAB" w:rsidP="00B95CAB">
            <w:pPr>
              <w:pStyle w:val="BodyText"/>
            </w:pPr>
          </w:p>
        </w:tc>
        <w:tc>
          <w:tcPr>
            <w:tcW w:w="5224" w:type="dxa"/>
            <w:shd w:val="clear" w:color="auto" w:fill="FFFFFF" w:themeFill="background1"/>
            <w:vAlign w:val="center"/>
          </w:tcPr>
          <w:p w14:paraId="2BEFE9A5" w14:textId="77777777" w:rsidR="00B95CAB" w:rsidRPr="00B95CAB" w:rsidRDefault="00B95CAB" w:rsidP="00B95CAB">
            <w:pPr>
              <w:pStyle w:val="BodyText"/>
            </w:pPr>
            <w:r w:rsidRPr="00B95CAB">
              <w:t>Long-term monitoring and reporting of decommissioned production sites</w:t>
            </w:r>
          </w:p>
        </w:tc>
        <w:tc>
          <w:tcPr>
            <w:tcW w:w="1015" w:type="dxa"/>
            <w:vMerge/>
          </w:tcPr>
          <w:p w14:paraId="2DE3314A" w14:textId="77777777" w:rsidR="00B95CAB" w:rsidRPr="00B95CAB" w:rsidRDefault="00B95CAB" w:rsidP="00B95CAB">
            <w:pPr>
              <w:pStyle w:val="BodyText"/>
            </w:pPr>
          </w:p>
        </w:tc>
      </w:tr>
      <w:tr w:rsidR="00B95CAB" w:rsidRPr="00B95CAB" w14:paraId="077C552E" w14:textId="77777777" w:rsidTr="00B95CAB">
        <w:trPr>
          <w:cantSplit/>
          <w:trHeight w:val="327"/>
          <w:jc w:val="center"/>
        </w:trPr>
        <w:tc>
          <w:tcPr>
            <w:tcW w:w="1368" w:type="dxa"/>
            <w:vMerge w:val="restart"/>
            <w:shd w:val="clear" w:color="auto" w:fill="F2F2F2" w:themeFill="background1" w:themeFillShade="F2"/>
            <w:vAlign w:val="center"/>
          </w:tcPr>
          <w:p w14:paraId="28DCE0F4" w14:textId="77777777" w:rsidR="00B95CAB" w:rsidRPr="00B95CAB" w:rsidRDefault="00B95CAB" w:rsidP="00B95CAB">
            <w:pPr>
              <w:pStyle w:val="BodyText"/>
            </w:pPr>
            <w:r w:rsidRPr="00B95CAB">
              <w:t>Downstream</w:t>
            </w:r>
          </w:p>
        </w:tc>
        <w:tc>
          <w:tcPr>
            <w:tcW w:w="1796" w:type="dxa"/>
            <w:vMerge w:val="restart"/>
            <w:shd w:val="clear" w:color="auto" w:fill="FFFFFF" w:themeFill="background1"/>
            <w:vAlign w:val="center"/>
          </w:tcPr>
          <w:p w14:paraId="3CAEAD68" w14:textId="77777777" w:rsidR="00B95CAB" w:rsidRPr="00B95CAB" w:rsidRDefault="00B95CAB" w:rsidP="00B95CAB">
            <w:pPr>
              <w:pStyle w:val="BodyText"/>
            </w:pPr>
            <w:r w:rsidRPr="00B95CAB">
              <w:t>Transportation</w:t>
            </w:r>
          </w:p>
        </w:tc>
        <w:tc>
          <w:tcPr>
            <w:tcW w:w="5224" w:type="dxa"/>
            <w:shd w:val="clear" w:color="auto" w:fill="FFFFFF" w:themeFill="background1"/>
            <w:vAlign w:val="center"/>
          </w:tcPr>
          <w:p w14:paraId="143F5489" w14:textId="77777777" w:rsidR="00B95CAB" w:rsidRPr="00B95CAB" w:rsidRDefault="00B95CAB" w:rsidP="00B95CAB">
            <w:pPr>
              <w:pStyle w:val="BodyText"/>
            </w:pPr>
            <w:r w:rsidRPr="00B95CAB">
              <w:t>Pipeline route planning</w:t>
            </w:r>
          </w:p>
        </w:tc>
        <w:tc>
          <w:tcPr>
            <w:tcW w:w="1015" w:type="dxa"/>
            <w:vMerge w:val="restart"/>
            <w:vAlign w:val="center"/>
          </w:tcPr>
          <w:p w14:paraId="5C9AD8DF" w14:textId="77777777" w:rsidR="00B95CAB" w:rsidRPr="00B95CAB" w:rsidRDefault="00B95CAB" w:rsidP="00B95CAB">
            <w:pPr>
              <w:pStyle w:val="BodyText"/>
            </w:pPr>
            <w:r w:rsidRPr="00B95CAB">
              <w:t>1 m</w:t>
            </w:r>
          </w:p>
        </w:tc>
      </w:tr>
      <w:tr w:rsidR="00B95CAB" w:rsidRPr="00B95CAB" w14:paraId="22382ADF" w14:textId="77777777" w:rsidTr="00B95CAB">
        <w:trPr>
          <w:cantSplit/>
          <w:trHeight w:val="327"/>
          <w:jc w:val="center"/>
        </w:trPr>
        <w:tc>
          <w:tcPr>
            <w:tcW w:w="1368" w:type="dxa"/>
            <w:vMerge/>
            <w:shd w:val="clear" w:color="auto" w:fill="F2F2F2" w:themeFill="background1" w:themeFillShade="F2"/>
            <w:vAlign w:val="center"/>
          </w:tcPr>
          <w:p w14:paraId="47DC8254" w14:textId="77777777" w:rsidR="00B95CAB" w:rsidRPr="00B95CAB" w:rsidRDefault="00B95CAB" w:rsidP="00B95CAB">
            <w:pPr>
              <w:pStyle w:val="BodyText"/>
            </w:pPr>
          </w:p>
        </w:tc>
        <w:tc>
          <w:tcPr>
            <w:tcW w:w="1796" w:type="dxa"/>
            <w:vMerge/>
            <w:shd w:val="clear" w:color="auto" w:fill="FFFFFF" w:themeFill="background1"/>
            <w:vAlign w:val="center"/>
          </w:tcPr>
          <w:p w14:paraId="7180A854" w14:textId="77777777" w:rsidR="00B95CAB" w:rsidRPr="00B95CAB" w:rsidRDefault="00B95CAB" w:rsidP="00B95CAB">
            <w:pPr>
              <w:pStyle w:val="BodyText"/>
            </w:pPr>
          </w:p>
        </w:tc>
        <w:tc>
          <w:tcPr>
            <w:tcW w:w="5224" w:type="dxa"/>
            <w:shd w:val="clear" w:color="auto" w:fill="FFFFFF" w:themeFill="background1"/>
            <w:vAlign w:val="center"/>
          </w:tcPr>
          <w:p w14:paraId="6FC69A38" w14:textId="2BACE4CB" w:rsidR="00B95CAB" w:rsidRPr="00B95CAB" w:rsidRDefault="00B95CAB" w:rsidP="003959BC">
            <w:pPr>
              <w:pStyle w:val="BodyText"/>
            </w:pPr>
            <w:r w:rsidRPr="00B95CAB">
              <w:t>Pipeline construction</w:t>
            </w:r>
            <w:r w:rsidR="003959BC">
              <w:t xml:space="preserve"> </w:t>
            </w:r>
            <w:r w:rsidRPr="00B95CAB">
              <w:t>and maintenance</w:t>
            </w:r>
          </w:p>
        </w:tc>
        <w:tc>
          <w:tcPr>
            <w:tcW w:w="1015" w:type="dxa"/>
            <w:vMerge/>
            <w:vAlign w:val="center"/>
          </w:tcPr>
          <w:p w14:paraId="3117525A" w14:textId="77777777" w:rsidR="00B95CAB" w:rsidRPr="00B95CAB" w:rsidRDefault="00B95CAB" w:rsidP="00B95CAB">
            <w:pPr>
              <w:pStyle w:val="BodyText"/>
            </w:pPr>
          </w:p>
        </w:tc>
      </w:tr>
      <w:tr w:rsidR="00B95CAB" w:rsidRPr="00B95CAB" w14:paraId="6C8DFED3" w14:textId="77777777" w:rsidTr="00B95CAB">
        <w:trPr>
          <w:cantSplit/>
          <w:trHeight w:val="327"/>
          <w:jc w:val="center"/>
        </w:trPr>
        <w:tc>
          <w:tcPr>
            <w:tcW w:w="1368" w:type="dxa"/>
            <w:vMerge/>
            <w:shd w:val="clear" w:color="auto" w:fill="F2F2F2" w:themeFill="background1" w:themeFillShade="F2"/>
            <w:vAlign w:val="center"/>
          </w:tcPr>
          <w:p w14:paraId="5FD17E88" w14:textId="77777777" w:rsidR="00B95CAB" w:rsidRPr="00B95CAB" w:rsidRDefault="00B95CAB" w:rsidP="00B95CAB">
            <w:pPr>
              <w:pStyle w:val="BodyText"/>
            </w:pPr>
          </w:p>
        </w:tc>
        <w:tc>
          <w:tcPr>
            <w:tcW w:w="1796" w:type="dxa"/>
            <w:vMerge/>
            <w:shd w:val="clear" w:color="auto" w:fill="FFFFFF" w:themeFill="background1"/>
            <w:vAlign w:val="center"/>
          </w:tcPr>
          <w:p w14:paraId="02F0193A" w14:textId="77777777" w:rsidR="00B95CAB" w:rsidRPr="00B95CAB" w:rsidRDefault="00B95CAB" w:rsidP="00B95CAB">
            <w:pPr>
              <w:pStyle w:val="BodyText"/>
            </w:pPr>
          </w:p>
        </w:tc>
        <w:tc>
          <w:tcPr>
            <w:tcW w:w="5224" w:type="dxa"/>
            <w:shd w:val="clear" w:color="auto" w:fill="FFFFFF" w:themeFill="background1"/>
            <w:vAlign w:val="center"/>
          </w:tcPr>
          <w:p w14:paraId="5004762C" w14:textId="22D20CA0" w:rsidR="00B95CAB" w:rsidRPr="00B95CAB" w:rsidRDefault="00B95CAB" w:rsidP="003959BC">
            <w:pPr>
              <w:pStyle w:val="BodyText"/>
            </w:pPr>
            <w:r w:rsidRPr="00B95CAB">
              <w:t xml:space="preserve">Bulk transport of Oil &amp; Gas </w:t>
            </w:r>
          </w:p>
        </w:tc>
        <w:tc>
          <w:tcPr>
            <w:tcW w:w="1015" w:type="dxa"/>
            <w:vMerge w:val="restart"/>
            <w:vAlign w:val="center"/>
          </w:tcPr>
          <w:p w14:paraId="5636675A" w14:textId="77777777" w:rsidR="00B95CAB" w:rsidRPr="00B95CAB" w:rsidRDefault="00B95CAB" w:rsidP="00B95CAB">
            <w:pPr>
              <w:pStyle w:val="BodyText"/>
            </w:pPr>
            <w:r w:rsidRPr="00B95CAB">
              <w:t>10 m</w:t>
            </w:r>
          </w:p>
        </w:tc>
      </w:tr>
      <w:tr w:rsidR="00B95CAB" w:rsidRPr="00B95CAB" w14:paraId="61D93440" w14:textId="77777777" w:rsidTr="00B95CAB">
        <w:trPr>
          <w:cantSplit/>
          <w:trHeight w:val="327"/>
          <w:jc w:val="center"/>
        </w:trPr>
        <w:tc>
          <w:tcPr>
            <w:tcW w:w="1368" w:type="dxa"/>
            <w:vMerge/>
            <w:shd w:val="clear" w:color="auto" w:fill="F2F2F2" w:themeFill="background1" w:themeFillShade="F2"/>
            <w:vAlign w:val="center"/>
          </w:tcPr>
          <w:p w14:paraId="1E75C571" w14:textId="77777777" w:rsidR="00B95CAB" w:rsidRPr="00B95CAB" w:rsidRDefault="00B95CAB" w:rsidP="00B95CAB">
            <w:pPr>
              <w:pStyle w:val="BodyText"/>
            </w:pPr>
          </w:p>
        </w:tc>
        <w:tc>
          <w:tcPr>
            <w:tcW w:w="1796" w:type="dxa"/>
            <w:vMerge/>
            <w:shd w:val="clear" w:color="auto" w:fill="FFFFFF" w:themeFill="background1"/>
            <w:vAlign w:val="center"/>
          </w:tcPr>
          <w:p w14:paraId="2724558C" w14:textId="77777777" w:rsidR="00B95CAB" w:rsidRPr="00B95CAB" w:rsidRDefault="00B95CAB" w:rsidP="00B95CAB">
            <w:pPr>
              <w:pStyle w:val="BodyText"/>
            </w:pPr>
          </w:p>
        </w:tc>
        <w:tc>
          <w:tcPr>
            <w:tcW w:w="5224" w:type="dxa"/>
            <w:shd w:val="clear" w:color="auto" w:fill="FFFFFF" w:themeFill="background1"/>
            <w:vAlign w:val="center"/>
          </w:tcPr>
          <w:p w14:paraId="37F29900" w14:textId="6F3B1789" w:rsidR="00B95CAB" w:rsidRPr="00B95CAB" w:rsidRDefault="00B95CAB" w:rsidP="003959BC">
            <w:pPr>
              <w:pStyle w:val="BodyText"/>
            </w:pPr>
            <w:r w:rsidRPr="00B95CAB">
              <w:t xml:space="preserve">Fleet management </w:t>
            </w:r>
          </w:p>
        </w:tc>
        <w:tc>
          <w:tcPr>
            <w:tcW w:w="1015" w:type="dxa"/>
            <w:vMerge/>
          </w:tcPr>
          <w:p w14:paraId="70E4773A" w14:textId="77777777" w:rsidR="00B95CAB" w:rsidRPr="00B95CAB" w:rsidRDefault="00B95CAB" w:rsidP="00B95CAB">
            <w:pPr>
              <w:pStyle w:val="BodyText"/>
            </w:pPr>
          </w:p>
        </w:tc>
      </w:tr>
      <w:tr w:rsidR="00B95CAB" w:rsidRPr="00B95CAB" w14:paraId="5763924D" w14:textId="77777777" w:rsidTr="00B95CAB">
        <w:trPr>
          <w:cantSplit/>
          <w:trHeight w:val="327"/>
          <w:jc w:val="center"/>
        </w:trPr>
        <w:tc>
          <w:tcPr>
            <w:tcW w:w="1368" w:type="dxa"/>
            <w:vMerge/>
            <w:shd w:val="clear" w:color="auto" w:fill="F2F2F2" w:themeFill="background1" w:themeFillShade="F2"/>
            <w:vAlign w:val="center"/>
          </w:tcPr>
          <w:p w14:paraId="64B65A55" w14:textId="77777777" w:rsidR="00B95CAB" w:rsidRPr="00B95CAB" w:rsidRDefault="00B95CAB" w:rsidP="00B95CAB">
            <w:pPr>
              <w:pStyle w:val="BodyText"/>
            </w:pPr>
          </w:p>
        </w:tc>
        <w:tc>
          <w:tcPr>
            <w:tcW w:w="1796" w:type="dxa"/>
            <w:vMerge w:val="restart"/>
            <w:shd w:val="clear" w:color="auto" w:fill="FFFFFF" w:themeFill="background1"/>
            <w:vAlign w:val="center"/>
          </w:tcPr>
          <w:p w14:paraId="42B45BFA" w14:textId="77777777" w:rsidR="00B95CAB" w:rsidRPr="00B95CAB" w:rsidRDefault="00B95CAB" w:rsidP="00B95CAB">
            <w:pPr>
              <w:pStyle w:val="BodyText"/>
            </w:pPr>
            <w:r w:rsidRPr="00B95CAB">
              <w:t>Storage</w:t>
            </w:r>
          </w:p>
        </w:tc>
        <w:tc>
          <w:tcPr>
            <w:tcW w:w="5224" w:type="dxa"/>
            <w:shd w:val="clear" w:color="auto" w:fill="FFFFFF" w:themeFill="background1"/>
            <w:vAlign w:val="center"/>
          </w:tcPr>
          <w:p w14:paraId="1C394B48" w14:textId="77777777" w:rsidR="00B95CAB" w:rsidRPr="00B95CAB" w:rsidRDefault="00B95CAB" w:rsidP="00B95CAB">
            <w:pPr>
              <w:pStyle w:val="BodyText"/>
            </w:pPr>
            <w:r w:rsidRPr="00B95CAB">
              <w:t>Dimensional control across storage terminals</w:t>
            </w:r>
          </w:p>
        </w:tc>
        <w:tc>
          <w:tcPr>
            <w:tcW w:w="1015" w:type="dxa"/>
            <w:vMerge w:val="restart"/>
            <w:vAlign w:val="center"/>
          </w:tcPr>
          <w:p w14:paraId="5D09CB3E" w14:textId="77777777" w:rsidR="00B95CAB" w:rsidRPr="00B95CAB" w:rsidRDefault="00B95CAB" w:rsidP="00B95CAB">
            <w:pPr>
              <w:pStyle w:val="BodyText"/>
            </w:pPr>
            <w:r w:rsidRPr="00B95CAB">
              <w:t>1 m</w:t>
            </w:r>
          </w:p>
        </w:tc>
      </w:tr>
      <w:tr w:rsidR="00B95CAB" w:rsidRPr="00B95CAB" w14:paraId="6913DB94" w14:textId="77777777" w:rsidTr="00B95CAB">
        <w:trPr>
          <w:cantSplit/>
          <w:trHeight w:val="327"/>
          <w:jc w:val="center"/>
        </w:trPr>
        <w:tc>
          <w:tcPr>
            <w:tcW w:w="1368" w:type="dxa"/>
            <w:vMerge/>
            <w:shd w:val="clear" w:color="auto" w:fill="F2F2F2" w:themeFill="background1" w:themeFillShade="F2"/>
            <w:vAlign w:val="center"/>
          </w:tcPr>
          <w:p w14:paraId="21F089FD" w14:textId="77777777" w:rsidR="00B95CAB" w:rsidRPr="00B95CAB" w:rsidRDefault="00B95CAB" w:rsidP="00B95CAB">
            <w:pPr>
              <w:pStyle w:val="BodyText"/>
            </w:pPr>
          </w:p>
        </w:tc>
        <w:tc>
          <w:tcPr>
            <w:tcW w:w="1796" w:type="dxa"/>
            <w:vMerge/>
            <w:shd w:val="clear" w:color="auto" w:fill="FFFFFF" w:themeFill="background1"/>
            <w:vAlign w:val="center"/>
          </w:tcPr>
          <w:p w14:paraId="23EA659C" w14:textId="77777777" w:rsidR="00B95CAB" w:rsidRPr="00B95CAB" w:rsidRDefault="00B95CAB" w:rsidP="00B95CAB">
            <w:pPr>
              <w:pStyle w:val="BodyText"/>
            </w:pPr>
          </w:p>
        </w:tc>
        <w:tc>
          <w:tcPr>
            <w:tcW w:w="5224" w:type="dxa"/>
            <w:shd w:val="clear" w:color="auto" w:fill="FFFFFF" w:themeFill="background1"/>
            <w:vAlign w:val="center"/>
          </w:tcPr>
          <w:p w14:paraId="7248DC13" w14:textId="4902D290" w:rsidR="00B95CAB" w:rsidRPr="00B95CAB" w:rsidRDefault="003959BC" w:rsidP="003959BC">
            <w:pPr>
              <w:pStyle w:val="BodyText"/>
            </w:pPr>
            <w:r>
              <w:t>R</w:t>
            </w:r>
            <w:r w:rsidR="00B95CAB" w:rsidRPr="00B95CAB">
              <w:t>etrofit and revamp projects</w:t>
            </w:r>
          </w:p>
        </w:tc>
        <w:tc>
          <w:tcPr>
            <w:tcW w:w="1015" w:type="dxa"/>
            <w:vMerge/>
          </w:tcPr>
          <w:p w14:paraId="702FACE6" w14:textId="77777777" w:rsidR="00B95CAB" w:rsidRPr="00B95CAB" w:rsidRDefault="00B95CAB" w:rsidP="00B95CAB">
            <w:pPr>
              <w:pStyle w:val="BodyText"/>
            </w:pPr>
          </w:p>
        </w:tc>
      </w:tr>
      <w:tr w:rsidR="00B95CAB" w:rsidRPr="00B95CAB" w14:paraId="7AFF09A5" w14:textId="77777777" w:rsidTr="00B95CAB">
        <w:trPr>
          <w:cantSplit/>
          <w:trHeight w:val="327"/>
          <w:jc w:val="center"/>
        </w:trPr>
        <w:tc>
          <w:tcPr>
            <w:tcW w:w="1368" w:type="dxa"/>
            <w:vMerge/>
            <w:shd w:val="clear" w:color="auto" w:fill="F2F2F2" w:themeFill="background1" w:themeFillShade="F2"/>
            <w:vAlign w:val="center"/>
          </w:tcPr>
          <w:p w14:paraId="39DBA451" w14:textId="77777777" w:rsidR="00B95CAB" w:rsidRPr="00B95CAB" w:rsidRDefault="00B95CAB" w:rsidP="00B95CAB">
            <w:pPr>
              <w:pStyle w:val="BodyText"/>
            </w:pPr>
          </w:p>
        </w:tc>
        <w:tc>
          <w:tcPr>
            <w:tcW w:w="1796" w:type="dxa"/>
            <w:vMerge/>
            <w:shd w:val="clear" w:color="auto" w:fill="FFFFFF" w:themeFill="background1"/>
            <w:vAlign w:val="center"/>
          </w:tcPr>
          <w:p w14:paraId="3A3B9251" w14:textId="77777777" w:rsidR="00B95CAB" w:rsidRPr="00B95CAB" w:rsidRDefault="00B95CAB" w:rsidP="00B95CAB">
            <w:pPr>
              <w:pStyle w:val="BodyText"/>
            </w:pPr>
          </w:p>
        </w:tc>
        <w:tc>
          <w:tcPr>
            <w:tcW w:w="5224" w:type="dxa"/>
            <w:shd w:val="clear" w:color="auto" w:fill="FFFFFF" w:themeFill="background1"/>
            <w:vAlign w:val="center"/>
          </w:tcPr>
          <w:p w14:paraId="1A68ED91" w14:textId="77777777" w:rsidR="00B95CAB" w:rsidRPr="00B95CAB" w:rsidRDefault="00B95CAB" w:rsidP="00B95CAB">
            <w:pPr>
              <w:pStyle w:val="BodyText"/>
            </w:pPr>
            <w:r w:rsidRPr="00B95CAB">
              <w:t>Tank calibration</w:t>
            </w:r>
          </w:p>
        </w:tc>
        <w:tc>
          <w:tcPr>
            <w:tcW w:w="1015" w:type="dxa"/>
            <w:vMerge/>
          </w:tcPr>
          <w:p w14:paraId="466E99BC" w14:textId="77777777" w:rsidR="00B95CAB" w:rsidRPr="00B95CAB" w:rsidRDefault="00B95CAB" w:rsidP="00B95CAB">
            <w:pPr>
              <w:pStyle w:val="BodyText"/>
            </w:pPr>
          </w:p>
        </w:tc>
      </w:tr>
      <w:tr w:rsidR="00B95CAB" w:rsidRPr="00B95CAB" w14:paraId="0C8F3B44" w14:textId="77777777" w:rsidTr="00B95CAB">
        <w:trPr>
          <w:cantSplit/>
          <w:trHeight w:val="327"/>
          <w:jc w:val="center"/>
        </w:trPr>
        <w:tc>
          <w:tcPr>
            <w:tcW w:w="1368" w:type="dxa"/>
            <w:vMerge/>
            <w:shd w:val="clear" w:color="auto" w:fill="F2F2F2" w:themeFill="background1" w:themeFillShade="F2"/>
            <w:vAlign w:val="center"/>
          </w:tcPr>
          <w:p w14:paraId="2521FA0D" w14:textId="77777777" w:rsidR="00B95CAB" w:rsidRPr="00B95CAB" w:rsidRDefault="00B95CAB" w:rsidP="00B95CAB">
            <w:pPr>
              <w:pStyle w:val="BodyText"/>
            </w:pPr>
          </w:p>
        </w:tc>
        <w:tc>
          <w:tcPr>
            <w:tcW w:w="1796" w:type="dxa"/>
            <w:vMerge w:val="restart"/>
            <w:shd w:val="clear" w:color="auto" w:fill="FFFFFF" w:themeFill="background1"/>
            <w:vAlign w:val="center"/>
          </w:tcPr>
          <w:p w14:paraId="238288FC" w14:textId="77777777" w:rsidR="00B95CAB" w:rsidRPr="00B95CAB" w:rsidRDefault="00B95CAB" w:rsidP="00B95CAB">
            <w:pPr>
              <w:pStyle w:val="BodyText"/>
            </w:pPr>
            <w:r w:rsidRPr="00B95CAB">
              <w:t>Refining / Petrochemical</w:t>
            </w:r>
          </w:p>
        </w:tc>
        <w:tc>
          <w:tcPr>
            <w:tcW w:w="5224" w:type="dxa"/>
            <w:shd w:val="clear" w:color="auto" w:fill="FFFFFF" w:themeFill="background1"/>
            <w:vAlign w:val="center"/>
          </w:tcPr>
          <w:p w14:paraId="61CDF13A" w14:textId="29350153" w:rsidR="00B95CAB" w:rsidRPr="00B95CAB" w:rsidRDefault="003959BC" w:rsidP="003959BC">
            <w:pPr>
              <w:pStyle w:val="BodyText"/>
            </w:pPr>
            <w:r>
              <w:t>D</w:t>
            </w:r>
            <w:r w:rsidR="00B95CAB" w:rsidRPr="00B95CAB">
              <w:t xml:space="preserve">imensional control across plant facilities </w:t>
            </w:r>
          </w:p>
        </w:tc>
        <w:tc>
          <w:tcPr>
            <w:tcW w:w="1015" w:type="dxa"/>
            <w:vMerge w:val="restart"/>
            <w:vAlign w:val="center"/>
          </w:tcPr>
          <w:p w14:paraId="34AC3B6D" w14:textId="77777777" w:rsidR="00B95CAB" w:rsidRPr="0059416F" w:rsidRDefault="00B95CAB" w:rsidP="00B95CAB">
            <w:pPr>
              <w:pStyle w:val="BodyText"/>
              <w:rPr>
                <w:rFonts w:asciiTheme="minorHAnsi" w:hAnsiTheme="minorHAnsi"/>
              </w:rPr>
            </w:pPr>
            <w:r w:rsidRPr="0059416F">
              <w:rPr>
                <w:rFonts w:asciiTheme="minorHAnsi" w:hAnsiTheme="minorHAnsi"/>
              </w:rPr>
              <w:t>&lt; 1 m</w:t>
            </w:r>
          </w:p>
        </w:tc>
      </w:tr>
      <w:tr w:rsidR="00B95CAB" w:rsidRPr="00B95CAB" w14:paraId="2BA26185" w14:textId="77777777" w:rsidTr="00B95CAB">
        <w:trPr>
          <w:cantSplit/>
          <w:trHeight w:val="327"/>
          <w:jc w:val="center"/>
        </w:trPr>
        <w:tc>
          <w:tcPr>
            <w:tcW w:w="1368" w:type="dxa"/>
            <w:vMerge/>
            <w:shd w:val="clear" w:color="auto" w:fill="F2F2F2" w:themeFill="background1" w:themeFillShade="F2"/>
            <w:vAlign w:val="center"/>
          </w:tcPr>
          <w:p w14:paraId="6DE157D2" w14:textId="77777777" w:rsidR="00B95CAB" w:rsidRPr="00B95CAB" w:rsidRDefault="00B95CAB" w:rsidP="00B95CAB">
            <w:pPr>
              <w:pStyle w:val="BodyText"/>
            </w:pPr>
          </w:p>
        </w:tc>
        <w:tc>
          <w:tcPr>
            <w:tcW w:w="1796" w:type="dxa"/>
            <w:vMerge/>
            <w:shd w:val="clear" w:color="auto" w:fill="FFFFFF" w:themeFill="background1"/>
            <w:vAlign w:val="center"/>
          </w:tcPr>
          <w:p w14:paraId="78F3155D" w14:textId="77777777" w:rsidR="00B95CAB" w:rsidRPr="00B95CAB" w:rsidRDefault="00B95CAB" w:rsidP="00B95CAB">
            <w:pPr>
              <w:pStyle w:val="BodyText"/>
            </w:pPr>
          </w:p>
        </w:tc>
        <w:tc>
          <w:tcPr>
            <w:tcW w:w="5224" w:type="dxa"/>
            <w:shd w:val="clear" w:color="auto" w:fill="FFFFFF" w:themeFill="background1"/>
            <w:vAlign w:val="center"/>
          </w:tcPr>
          <w:p w14:paraId="20877737" w14:textId="77777777" w:rsidR="00B95CAB" w:rsidRPr="00B95CAB" w:rsidRDefault="00B95CAB" w:rsidP="00B95CAB">
            <w:pPr>
              <w:pStyle w:val="BodyText"/>
            </w:pPr>
            <w:r w:rsidRPr="00B95CAB">
              <w:t>Tracking and management of every asset</w:t>
            </w:r>
          </w:p>
        </w:tc>
        <w:tc>
          <w:tcPr>
            <w:tcW w:w="1015" w:type="dxa"/>
            <w:vMerge/>
            <w:vAlign w:val="center"/>
          </w:tcPr>
          <w:p w14:paraId="07F53826" w14:textId="77777777" w:rsidR="00B95CAB" w:rsidRPr="0059416F" w:rsidRDefault="00B95CAB" w:rsidP="00B95CAB">
            <w:pPr>
              <w:pStyle w:val="BodyText"/>
              <w:rPr>
                <w:rFonts w:asciiTheme="minorHAnsi" w:hAnsiTheme="minorHAnsi"/>
              </w:rPr>
            </w:pPr>
          </w:p>
        </w:tc>
      </w:tr>
      <w:tr w:rsidR="00B95CAB" w:rsidRPr="00B95CAB" w14:paraId="4527D2C8" w14:textId="77777777" w:rsidTr="00B95CAB">
        <w:trPr>
          <w:cantSplit/>
          <w:trHeight w:val="327"/>
          <w:jc w:val="center"/>
        </w:trPr>
        <w:tc>
          <w:tcPr>
            <w:tcW w:w="1368" w:type="dxa"/>
            <w:vMerge/>
            <w:shd w:val="clear" w:color="auto" w:fill="F2F2F2" w:themeFill="background1" w:themeFillShade="F2"/>
            <w:vAlign w:val="center"/>
          </w:tcPr>
          <w:p w14:paraId="0F83EAC9" w14:textId="77777777" w:rsidR="00B95CAB" w:rsidRPr="00B95CAB" w:rsidRDefault="00B95CAB" w:rsidP="00B95CAB">
            <w:pPr>
              <w:pStyle w:val="BodyText"/>
            </w:pPr>
          </w:p>
        </w:tc>
        <w:tc>
          <w:tcPr>
            <w:tcW w:w="1796" w:type="dxa"/>
            <w:shd w:val="clear" w:color="auto" w:fill="FFFFFF" w:themeFill="background1"/>
            <w:vAlign w:val="center"/>
          </w:tcPr>
          <w:p w14:paraId="52D2CEBA" w14:textId="77777777" w:rsidR="00B95CAB" w:rsidRPr="00B95CAB" w:rsidRDefault="00B95CAB" w:rsidP="00B95CAB">
            <w:pPr>
              <w:pStyle w:val="BodyText"/>
            </w:pPr>
            <w:r w:rsidRPr="00B95CAB">
              <w:t>Distribution</w:t>
            </w:r>
          </w:p>
        </w:tc>
        <w:tc>
          <w:tcPr>
            <w:tcW w:w="5224" w:type="dxa"/>
            <w:shd w:val="clear" w:color="auto" w:fill="FFFFFF" w:themeFill="background1"/>
            <w:vAlign w:val="center"/>
          </w:tcPr>
          <w:p w14:paraId="7C5187C3" w14:textId="77777777" w:rsidR="00B95CAB" w:rsidRPr="00B95CAB" w:rsidRDefault="00B95CAB" w:rsidP="00B95CAB">
            <w:pPr>
              <w:pStyle w:val="BodyText"/>
            </w:pPr>
            <w:r w:rsidRPr="00B95CAB">
              <w:t>Fleet management</w:t>
            </w:r>
          </w:p>
        </w:tc>
        <w:tc>
          <w:tcPr>
            <w:tcW w:w="1015" w:type="dxa"/>
            <w:vAlign w:val="center"/>
          </w:tcPr>
          <w:p w14:paraId="5ED24E02" w14:textId="37A59E41" w:rsidR="00B95CAB" w:rsidRPr="0059416F" w:rsidRDefault="0059416F" w:rsidP="0059416F">
            <w:pPr>
              <w:pStyle w:val="AnnexHeading1"/>
              <w:rPr>
                <w:rFonts w:asciiTheme="minorHAnsi" w:hAnsiTheme="minorHAnsi"/>
                <w:b w:val="0"/>
                <w:sz w:val="22"/>
              </w:rPr>
            </w:pPr>
            <w:r>
              <w:rPr>
                <w:rFonts w:asciiTheme="minorHAnsi" w:hAnsiTheme="minorHAnsi"/>
                <w:b w:val="0"/>
                <w:sz w:val="22"/>
              </w:rPr>
              <w:t xml:space="preserve">10 </w:t>
            </w:r>
            <w:r w:rsidRPr="0059416F">
              <w:rPr>
                <w:rFonts w:asciiTheme="minorHAnsi" w:hAnsiTheme="minorHAnsi"/>
                <w:b w:val="0"/>
                <w:caps w:val="0"/>
                <w:sz w:val="22"/>
              </w:rPr>
              <w:t>m</w:t>
            </w:r>
          </w:p>
        </w:tc>
      </w:tr>
    </w:tbl>
    <w:p w14:paraId="675EA71F" w14:textId="77777777" w:rsidR="00B95CAB" w:rsidRPr="004A6AB8" w:rsidRDefault="00B95CAB" w:rsidP="00960904">
      <w:pPr>
        <w:pStyle w:val="BodyText"/>
      </w:pPr>
    </w:p>
    <w:p w14:paraId="0256CD63" w14:textId="22A1517C" w:rsidR="003722D0" w:rsidRPr="003722D0" w:rsidRDefault="009A300F" w:rsidP="00172375">
      <w:pPr>
        <w:pStyle w:val="BodyText"/>
        <w:rPr>
          <w:rFonts w:asciiTheme="minorHAnsi" w:hAnsiTheme="minorHAnsi"/>
        </w:rPr>
      </w:pPr>
      <w:r>
        <w:t xml:space="preserve">After addressing the different operations and accuracy requirements, </w:t>
      </w:r>
      <w:r w:rsidR="0059416F">
        <w:t xml:space="preserve">the market status was </w:t>
      </w:r>
      <w:r>
        <w:t xml:space="preserve">analysed. </w:t>
      </w:r>
      <w:r w:rsidR="00172375">
        <w:t xml:space="preserve">For this objective, the different types of vessels used in each operation phase were investigated and </w:t>
      </w:r>
      <w:r w:rsidR="00BD723D" w:rsidRPr="004A6AB8">
        <w:t xml:space="preserve">based on the different public sources of information </w:t>
      </w:r>
      <w:r w:rsidR="00172375">
        <w:t xml:space="preserve">the </w:t>
      </w:r>
      <w:r w:rsidR="00BD723D" w:rsidRPr="004A6AB8">
        <w:t xml:space="preserve">number of </w:t>
      </w:r>
      <w:r w:rsidR="008C5230">
        <w:t>off-shore</w:t>
      </w:r>
      <w:r w:rsidR="00BD723D" w:rsidRPr="004A6AB8">
        <w:t xml:space="preserve"> ve</w:t>
      </w:r>
      <w:r w:rsidR="00172375">
        <w:t xml:space="preserve">ssels were estimated. </w:t>
      </w:r>
      <w:r w:rsidR="003722D0">
        <w:rPr>
          <w:rFonts w:asciiTheme="minorHAnsi" w:hAnsiTheme="minorHAnsi"/>
        </w:rPr>
        <w:t>T</w:t>
      </w:r>
      <w:r w:rsidR="003722D0" w:rsidRPr="003722D0">
        <w:rPr>
          <w:rFonts w:asciiTheme="minorHAnsi" w:hAnsiTheme="minorHAnsi"/>
        </w:rPr>
        <w:t xml:space="preserve">he approximate distribution of the different type of </w:t>
      </w:r>
      <w:r w:rsidR="008C5230">
        <w:rPr>
          <w:rFonts w:asciiTheme="minorHAnsi" w:hAnsiTheme="minorHAnsi"/>
        </w:rPr>
        <w:t>off-shore</w:t>
      </w:r>
      <w:r w:rsidR="003722D0" w:rsidRPr="003722D0">
        <w:rPr>
          <w:rFonts w:asciiTheme="minorHAnsi" w:hAnsiTheme="minorHAnsi"/>
        </w:rPr>
        <w:t xml:space="preserve"> Oil &amp; Gas assets in a worldwide scope is the following one: </w:t>
      </w:r>
    </w:p>
    <w:p w14:paraId="5712048A" w14:textId="77777777" w:rsidR="003722D0" w:rsidRDefault="003722D0" w:rsidP="003722D0">
      <w:pPr>
        <w:ind w:left="720"/>
      </w:pPr>
    </w:p>
    <w:p w14:paraId="6944F71A" w14:textId="77777777" w:rsidR="003722D0" w:rsidRDefault="003722D0" w:rsidP="003722D0">
      <w:pPr>
        <w:ind w:left="720"/>
      </w:pPr>
      <w:r>
        <w:rPr>
          <w:noProof/>
          <w:lang w:val="en-IE" w:eastAsia="en-IE"/>
        </w:rPr>
        <w:lastRenderedPageBreak/>
        <w:drawing>
          <wp:inline distT="0" distB="0" distL="0" distR="0" wp14:anchorId="4A5DCDC8" wp14:editId="0BAC4EB9">
            <wp:extent cx="5541817" cy="3830128"/>
            <wp:effectExtent l="0" t="0" r="1905" b="0"/>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544808" cy="3832196"/>
                    </a:xfrm>
                    <a:prstGeom prst="rect">
                      <a:avLst/>
                    </a:prstGeom>
                    <a:noFill/>
                  </pic:spPr>
                </pic:pic>
              </a:graphicData>
            </a:graphic>
          </wp:inline>
        </w:drawing>
      </w:r>
    </w:p>
    <w:p w14:paraId="7D7811FB" w14:textId="57411233" w:rsidR="003722D0" w:rsidRPr="004A6AB8" w:rsidRDefault="003722D0" w:rsidP="003722D0">
      <w:pPr>
        <w:pStyle w:val="Figure"/>
      </w:pPr>
      <w:bookmarkStart w:id="11" w:name="_Toc463012709"/>
      <w:r>
        <w:rPr>
          <w:noProof/>
        </w:rPr>
        <w:t xml:space="preserve">Distribution of </w:t>
      </w:r>
      <w:r w:rsidR="008C5230">
        <w:rPr>
          <w:noProof/>
        </w:rPr>
        <w:t>off-shore</w:t>
      </w:r>
      <w:r>
        <w:rPr>
          <w:noProof/>
        </w:rPr>
        <w:t xml:space="preserve"> Oil &amp; Gas assets in a worldwide scope</w:t>
      </w:r>
      <w:r w:rsidRPr="007A395D">
        <w:t xml:space="preserve"> </w:t>
      </w:r>
      <w:bookmarkEnd w:id="11"/>
    </w:p>
    <w:p w14:paraId="7F184046" w14:textId="31458433" w:rsidR="00964888" w:rsidRPr="00E34581" w:rsidRDefault="00EC7E28" w:rsidP="00E34581">
      <w:pPr>
        <w:pStyle w:val="Heading1"/>
        <w:numPr>
          <w:ilvl w:val="0"/>
          <w:numId w:val="38"/>
        </w:numPr>
      </w:pPr>
      <w:r w:rsidRPr="00E34581">
        <w:t xml:space="preserve">Value proposition and </w:t>
      </w:r>
      <w:r w:rsidR="003722D0" w:rsidRPr="00E34581">
        <w:t>target market</w:t>
      </w:r>
      <w:r w:rsidR="00960904" w:rsidRPr="00E34581">
        <w:t xml:space="preserve"> </w:t>
      </w:r>
    </w:p>
    <w:p w14:paraId="6A573267" w14:textId="1CA3F322" w:rsidR="001A6C4F" w:rsidRDefault="00886FD8" w:rsidP="004A6AB8">
      <w:pPr>
        <w:pStyle w:val="BodyText"/>
      </w:pPr>
      <w:r>
        <w:t>Considering the requirements of off-shore</w:t>
      </w:r>
      <w:r w:rsidRPr="00F320A1">
        <w:t xml:space="preserve"> Oil &amp; Gas operations </w:t>
      </w:r>
      <w:r>
        <w:t xml:space="preserve">shown in </w:t>
      </w:r>
      <w:r w:rsidRPr="00F320A1">
        <w:fldChar w:fldCharType="begin"/>
      </w:r>
      <w:r w:rsidRPr="00F320A1">
        <w:instrText xml:space="preserve"> REF _Ref474854232 \r \h </w:instrText>
      </w:r>
      <w:r w:rsidRPr="00F320A1">
        <w:fldChar w:fldCharType="separate"/>
      </w:r>
      <w:r>
        <w:t>Table 4</w:t>
      </w:r>
      <w:r w:rsidRPr="00F320A1">
        <w:fldChar w:fldCharType="end"/>
      </w:r>
      <w:r>
        <w:t xml:space="preserve">, </w:t>
      </w:r>
      <w:r w:rsidR="008D7E4C">
        <w:t xml:space="preserve">the next step was to provide a </w:t>
      </w:r>
      <w:r w:rsidR="008D7E4C" w:rsidRPr="008D7E4C">
        <w:t>Value Proposition of E</w:t>
      </w:r>
      <w:r>
        <w:t>GNOS</w:t>
      </w:r>
      <w:r w:rsidR="008D7E4C" w:rsidRPr="008D7E4C">
        <w:t xml:space="preserve"> in Off-Shore Operations</w:t>
      </w:r>
      <w:r w:rsidR="00A71E13">
        <w:t>, followed by the selection of a potential</w:t>
      </w:r>
      <w:r w:rsidR="001A6C4F">
        <w:t xml:space="preserve"> </w:t>
      </w:r>
      <w:r w:rsidR="00A71E13">
        <w:t xml:space="preserve">target market, understood as </w:t>
      </w:r>
      <w:r w:rsidR="00521297">
        <w:t xml:space="preserve">the </w:t>
      </w:r>
      <w:r w:rsidR="00A71E13">
        <w:t xml:space="preserve">type of vessels in this market that could benefit the most from </w:t>
      </w:r>
      <w:r w:rsidR="00E43128">
        <w:t>EGNOS</w:t>
      </w:r>
      <w:r w:rsidR="00A71E13">
        <w:t>.</w:t>
      </w:r>
    </w:p>
    <w:p w14:paraId="52ED70DE" w14:textId="58B3270F" w:rsidR="00EC7E28" w:rsidRPr="00E34581" w:rsidRDefault="001D5AD8" w:rsidP="00E34581">
      <w:pPr>
        <w:pStyle w:val="Heading2"/>
      </w:pPr>
      <w:r w:rsidRPr="00E34581">
        <w:t>Value proposition</w:t>
      </w:r>
      <w:r w:rsidR="00FF2991" w:rsidRPr="00E34581">
        <w:t xml:space="preserve"> </w:t>
      </w:r>
      <w:r w:rsidR="00FF2991" w:rsidRPr="008D7E4C">
        <w:t xml:space="preserve">of </w:t>
      </w:r>
      <w:r w:rsidR="00886FD8">
        <w:t>EGNOS</w:t>
      </w:r>
      <w:r w:rsidR="00FF2991" w:rsidRPr="008D7E4C">
        <w:t xml:space="preserve"> in Off-Shore Operations</w:t>
      </w:r>
    </w:p>
    <w:p w14:paraId="7B0EED2D" w14:textId="6BEE3DC4" w:rsidR="001D5AD8" w:rsidRDefault="00FF2991" w:rsidP="004A6AB8">
      <w:pPr>
        <w:pStyle w:val="BodyText"/>
      </w:pPr>
      <w:r>
        <w:t xml:space="preserve">The objective is to identify </w:t>
      </w:r>
      <w:r w:rsidRPr="001D5AD8">
        <w:t xml:space="preserve">potential opportunities for </w:t>
      </w:r>
      <w:r w:rsidR="00886FD8">
        <w:t>EGNOS</w:t>
      </w:r>
      <w:r w:rsidRPr="001D5AD8">
        <w:t xml:space="preserve"> in the off-shore </w:t>
      </w:r>
      <w:r w:rsidR="0057632B">
        <w:t>O</w:t>
      </w:r>
      <w:r w:rsidR="0057632B" w:rsidRPr="003805FC">
        <w:t xml:space="preserve">il </w:t>
      </w:r>
      <w:r w:rsidR="0057632B">
        <w:t>&amp; Gas</w:t>
      </w:r>
      <w:r w:rsidR="0057632B" w:rsidRPr="003805FC">
        <w:t xml:space="preserve"> </w:t>
      </w:r>
      <w:r w:rsidRPr="001D5AD8">
        <w:t>operations, showing the possible associated benefits from the end user perspective</w:t>
      </w:r>
      <w:r>
        <w:t>, according to the market analysis already performed.</w:t>
      </w:r>
    </w:p>
    <w:p w14:paraId="66C50DFD" w14:textId="6577B0ED" w:rsidR="001D5AD8" w:rsidRDefault="001D5AD8" w:rsidP="00E34581">
      <w:pPr>
        <w:pStyle w:val="Heading3"/>
      </w:pPr>
      <w:r>
        <w:t>EGNOS Open Service</w:t>
      </w:r>
    </w:p>
    <w:p w14:paraId="30B68777" w14:textId="50988582" w:rsidR="001D5AD8" w:rsidRDefault="004B0377" w:rsidP="004A6AB8">
      <w:pPr>
        <w:pStyle w:val="BodyText"/>
      </w:pPr>
      <w:r w:rsidRPr="004B0377">
        <w:t xml:space="preserve">EGNOS Open Service could be suitable as the primary positioning source (or as back-up, as it is currently used) for </w:t>
      </w:r>
      <w:r w:rsidR="0057632B">
        <w:t>O</w:t>
      </w:r>
      <w:r w:rsidR="0057632B" w:rsidRPr="003805FC">
        <w:t xml:space="preserve">il </w:t>
      </w:r>
      <w:r w:rsidR="0057632B">
        <w:t>&amp; Gas</w:t>
      </w:r>
      <w:r w:rsidR="0057632B" w:rsidRPr="003805FC">
        <w:t xml:space="preserve"> </w:t>
      </w:r>
      <w:r w:rsidRPr="004B0377">
        <w:t xml:space="preserve">applications that require </w:t>
      </w:r>
      <w:r w:rsidR="00FF2991">
        <w:t xml:space="preserve">around one </w:t>
      </w:r>
      <w:r w:rsidRPr="004B0377">
        <w:t xml:space="preserve">meter accuracy levels (refer to </w:t>
      </w:r>
      <w:r w:rsidR="00FF2991">
        <w:fldChar w:fldCharType="begin"/>
      </w:r>
      <w:r w:rsidR="00FF2991">
        <w:instrText xml:space="preserve"> REF _Ref474854232 \r \h </w:instrText>
      </w:r>
      <w:r w:rsidR="00FF2991">
        <w:fldChar w:fldCharType="separate"/>
      </w:r>
      <w:r w:rsidR="00D9725E">
        <w:t>Table 4</w:t>
      </w:r>
      <w:r w:rsidR="00FF2991">
        <w:fldChar w:fldCharType="end"/>
      </w:r>
      <w:r w:rsidRPr="004B0377">
        <w:t xml:space="preserve"> for full list of application</w:t>
      </w:r>
      <w:r w:rsidR="00FF2991">
        <w:t>s and positioning requirements).</w:t>
      </w:r>
    </w:p>
    <w:p w14:paraId="5F1456EC" w14:textId="6372FFBB" w:rsidR="004B0377" w:rsidRPr="004B0377" w:rsidRDefault="004B0377" w:rsidP="004B0377">
      <w:pPr>
        <w:spacing w:after="120"/>
        <w:jc w:val="both"/>
        <w:rPr>
          <w:rFonts w:ascii="Calibri" w:eastAsia="Times New Roman" w:hAnsi="Calibri" w:cs="Times New Roman"/>
          <w:lang w:eastAsia="en-US"/>
        </w:rPr>
      </w:pPr>
      <w:r w:rsidRPr="004B0377">
        <w:rPr>
          <w:rFonts w:ascii="Calibri" w:eastAsia="Times New Roman" w:hAnsi="Calibri" w:cs="Times New Roman"/>
          <w:lang w:eastAsia="en-US"/>
        </w:rPr>
        <w:t>By using EGNOS Open Service, end users would benefit from the use of a free-of-charge service with no need to modify th</w:t>
      </w:r>
      <w:r w:rsidR="00FF2991">
        <w:rPr>
          <w:rFonts w:ascii="Calibri" w:eastAsia="Times New Roman" w:hAnsi="Calibri" w:cs="Times New Roman"/>
          <w:lang w:eastAsia="en-US"/>
        </w:rPr>
        <w:t xml:space="preserve">e user equipment onboard, since </w:t>
      </w:r>
      <w:r w:rsidRPr="004B0377">
        <w:rPr>
          <w:rFonts w:ascii="Calibri" w:eastAsia="Times New Roman" w:hAnsi="Calibri" w:cs="Times New Roman"/>
          <w:lang w:eastAsia="en-US"/>
        </w:rPr>
        <w:t xml:space="preserve">EGNOS compatible receivers are widely adopted and commercialized by the main solution providers in the market.   </w:t>
      </w:r>
    </w:p>
    <w:p w14:paraId="2A578ADB" w14:textId="4937B362" w:rsidR="004B0377" w:rsidRPr="004B0377" w:rsidRDefault="004B0377" w:rsidP="004B0377">
      <w:pPr>
        <w:spacing w:after="120"/>
        <w:jc w:val="both"/>
        <w:rPr>
          <w:rFonts w:ascii="Calibri" w:eastAsia="Times New Roman" w:hAnsi="Calibri" w:cs="Times New Roman"/>
          <w:lang w:eastAsia="en-US"/>
        </w:rPr>
      </w:pPr>
      <w:r w:rsidRPr="004B0377">
        <w:rPr>
          <w:rFonts w:ascii="Calibri" w:eastAsia="Times New Roman" w:hAnsi="Calibri" w:cs="Times New Roman"/>
          <w:lang w:eastAsia="en-US"/>
        </w:rPr>
        <w:t>EGNOS, apart from enhancing the GPS stand-alone solution</w:t>
      </w:r>
      <w:r w:rsidR="00EC7F1E">
        <w:rPr>
          <w:rFonts w:ascii="Calibri" w:eastAsia="Times New Roman" w:hAnsi="Calibri" w:cs="Times New Roman"/>
          <w:lang w:eastAsia="en-US"/>
        </w:rPr>
        <w:t>,</w:t>
      </w:r>
      <w:r w:rsidRPr="004B0377">
        <w:rPr>
          <w:rFonts w:ascii="Calibri" w:eastAsia="Times New Roman" w:hAnsi="Calibri" w:cs="Times New Roman"/>
          <w:lang w:eastAsia="en-US"/>
        </w:rPr>
        <w:t xml:space="preserve"> provides Integrity information, being suitable for safety-critical applications. This is especially important for the </w:t>
      </w:r>
      <w:r w:rsidR="0057632B" w:rsidRPr="0057632B">
        <w:rPr>
          <w:rFonts w:ascii="Calibri" w:eastAsia="Times New Roman" w:hAnsi="Calibri" w:cs="Times New Roman"/>
          <w:lang w:eastAsia="en-US"/>
        </w:rPr>
        <w:t xml:space="preserve">Oil &amp; Gas </w:t>
      </w:r>
      <w:r w:rsidRPr="004B0377">
        <w:rPr>
          <w:rFonts w:ascii="Calibri" w:eastAsia="Times New Roman" w:hAnsi="Calibri" w:cs="Times New Roman"/>
          <w:lang w:eastAsia="en-US"/>
        </w:rPr>
        <w:t xml:space="preserve">market, in which a failure in the operation could dramatically impact the environment and have another catastrophic consequences or in case of specific cases with heavy regulatory/safety constraints. However, it is to be noted that, as of today, the commercial positioning services used in the </w:t>
      </w:r>
      <w:r w:rsidR="0057632B" w:rsidRPr="0057632B">
        <w:rPr>
          <w:rFonts w:ascii="Calibri" w:eastAsia="Times New Roman" w:hAnsi="Calibri" w:cs="Times New Roman"/>
          <w:lang w:eastAsia="en-US"/>
        </w:rPr>
        <w:t xml:space="preserve">Oil &amp; Gas </w:t>
      </w:r>
      <w:r w:rsidRPr="004B0377">
        <w:rPr>
          <w:rFonts w:ascii="Calibri" w:eastAsia="Times New Roman" w:hAnsi="Calibri" w:cs="Times New Roman"/>
          <w:lang w:eastAsia="en-US"/>
        </w:rPr>
        <w:t xml:space="preserve">sector do not provide integrity.  </w:t>
      </w:r>
    </w:p>
    <w:p w14:paraId="49A4891E" w14:textId="17FB357C" w:rsidR="004B0377" w:rsidRDefault="004B0377" w:rsidP="00E34581">
      <w:pPr>
        <w:pStyle w:val="Heading3"/>
      </w:pPr>
      <w:r>
        <w:tab/>
        <w:t>EDAS (EGNOS Data Access Service)</w:t>
      </w:r>
    </w:p>
    <w:p w14:paraId="544956B2" w14:textId="02B72E0A" w:rsidR="004B0377" w:rsidRPr="004B0377" w:rsidRDefault="004B0377" w:rsidP="004B0377">
      <w:pPr>
        <w:pStyle w:val="BodyText"/>
      </w:pPr>
      <w:r w:rsidRPr="004B0377">
        <w:t xml:space="preserve">Another component of </w:t>
      </w:r>
      <w:r w:rsidR="006944CA">
        <w:t>EGNOS</w:t>
      </w:r>
      <w:r w:rsidRPr="004B0377">
        <w:t xml:space="preserve"> which could be a suitable alternative for the applications </w:t>
      </w:r>
      <w:r w:rsidR="00EC7F1E" w:rsidRPr="004B0377">
        <w:t xml:space="preserve">that require </w:t>
      </w:r>
      <w:r w:rsidR="00EC7F1E">
        <w:t xml:space="preserve">around one </w:t>
      </w:r>
      <w:r w:rsidR="00EC7F1E" w:rsidRPr="004B0377">
        <w:t>meter accuracy levels</w:t>
      </w:r>
      <w:r w:rsidRPr="004B0377">
        <w:t xml:space="preserve"> would be EDAS; thanks to the DGNSS corrections it broadcasts taking the </w:t>
      </w:r>
      <w:r w:rsidRPr="004B0377">
        <w:lastRenderedPageBreak/>
        <w:t>EGNOS RIMS s</w:t>
      </w:r>
      <w:r w:rsidR="00193364">
        <w:t xml:space="preserve">tations as reference stations. </w:t>
      </w:r>
      <w:r w:rsidRPr="004B0377">
        <w:t>In this sense, EDAS DGNSS using satellite Internet access</w:t>
      </w:r>
      <w:r w:rsidRPr="004B0377">
        <w:rPr>
          <w:vertAlign w:val="superscript"/>
        </w:rPr>
        <w:footnoteReference w:id="5"/>
      </w:r>
      <w:r w:rsidRPr="004B0377">
        <w:t xml:space="preserve"> could be a good alternative for </w:t>
      </w:r>
      <w:r w:rsidR="0057632B" w:rsidRPr="0057632B">
        <w:rPr>
          <w:rFonts w:eastAsia="Times New Roman" w:cs="Times New Roman"/>
          <w:lang w:eastAsia="en-US"/>
        </w:rPr>
        <w:t xml:space="preserve">Oil &amp; Gas </w:t>
      </w:r>
      <w:r w:rsidRPr="004B0377">
        <w:t>stat</w:t>
      </w:r>
      <w:r w:rsidR="00837612">
        <w:t>ions located in high latitudes, f</w:t>
      </w:r>
      <w:r w:rsidR="00A643F0">
        <w:t xml:space="preserve">or instance, in </w:t>
      </w:r>
      <w:r w:rsidRPr="004B0377">
        <w:t>Oil &amp; Gas fields in the North Sea and in the Barent’s Sea.</w:t>
      </w:r>
    </w:p>
    <w:p w14:paraId="7B86B4CF" w14:textId="398CC9C7" w:rsidR="004B0377" w:rsidRPr="004B0377" w:rsidRDefault="004B0377" w:rsidP="004B0377">
      <w:pPr>
        <w:pStyle w:val="BodyText"/>
      </w:pPr>
      <w:r w:rsidRPr="004B0377">
        <w:t>Considering that the North Sea is well covered by EGNOS Open Service and that, EDAS DGNSS corrections would have to be accessed via satellite-Internet hence requiring some modifications/interfaces to the onboard user equipment, EDAS DGNSS corrections could be of higher interest for the Barents Sea area. It should be noted that, on these extreme latitudes, GEO visibility is limited (visibility problems may appear above 60N and are increased above 70N) hence impacting the availability of broadcast corrections (from SBAS systems or from commercial posit</w:t>
      </w:r>
      <w:r w:rsidR="00193364">
        <w:t>ioning services) at user level.</w:t>
      </w:r>
      <w:r w:rsidRPr="004B0377">
        <w:t xml:space="preserve"> </w:t>
      </w:r>
    </w:p>
    <w:p w14:paraId="3AA74384" w14:textId="55A20AD0" w:rsidR="003722D0" w:rsidRPr="00E34581" w:rsidRDefault="003722D0" w:rsidP="00E34581">
      <w:pPr>
        <w:pStyle w:val="Heading2"/>
      </w:pPr>
      <w:r w:rsidRPr="00E34581">
        <w:t>Target market</w:t>
      </w:r>
    </w:p>
    <w:p w14:paraId="4AAAE131" w14:textId="5B8F4B77" w:rsidR="009C7332" w:rsidRDefault="00D86E9A" w:rsidP="00D86E9A">
      <w:pPr>
        <w:pStyle w:val="BodyText"/>
      </w:pPr>
      <w:r>
        <w:rPr>
          <w:lang w:val="en-US"/>
        </w:rPr>
        <w:t xml:space="preserve">The following step was to identify </w:t>
      </w:r>
      <w:r w:rsidRPr="004B0377">
        <w:t xml:space="preserve">a specific application within the </w:t>
      </w:r>
      <w:r w:rsidR="008C5230">
        <w:t>off-shore</w:t>
      </w:r>
      <w:r w:rsidRPr="004B0377">
        <w:t xml:space="preserve"> Oil &amp; Gas mark</w:t>
      </w:r>
      <w:r>
        <w:t xml:space="preserve">et where </w:t>
      </w:r>
      <w:r w:rsidR="00886FD8">
        <w:t>EGNOS</w:t>
      </w:r>
      <w:r>
        <w:t xml:space="preserve"> can play a role. Based on a SWOT analysis and the previous market assessment, the analysis was focused on the identification </w:t>
      </w:r>
      <w:r w:rsidRPr="00D86E9A">
        <w:t>of a subset of vessels requiring positioning with an accuracy of the order of 1 meter.</w:t>
      </w:r>
      <w:r w:rsidRPr="004B0377">
        <w:t xml:space="preserve"> </w:t>
      </w:r>
      <w:r w:rsidR="009C7332" w:rsidRPr="004B0377">
        <w:t xml:space="preserve">The use of </w:t>
      </w:r>
      <w:r w:rsidR="00886FD8">
        <w:t>EGNOS</w:t>
      </w:r>
      <w:r w:rsidR="009C7332" w:rsidRPr="004B0377">
        <w:t xml:space="preserve"> and their future evolutions could cover the requirements of such users. </w:t>
      </w:r>
      <w:r w:rsidRPr="004B0377">
        <w:t>For th</w:t>
      </w:r>
      <w:r>
        <w:t>is purpose, this analysis began</w:t>
      </w:r>
      <w:r w:rsidRPr="004B0377">
        <w:t xml:space="preserve"> with an overview of </w:t>
      </w:r>
      <w:r w:rsidR="009C7332" w:rsidRPr="004B0377">
        <w:t xml:space="preserve">different types of </w:t>
      </w:r>
      <w:r w:rsidR="008C5230">
        <w:t>off-shore</w:t>
      </w:r>
      <w:r w:rsidR="009C7332" w:rsidRPr="004B0377">
        <w:t xml:space="preserve"> vessels that are usually classified according to the operations they are involved in</w:t>
      </w:r>
      <w:r w:rsidR="009C7332">
        <w:t>.</w:t>
      </w:r>
    </w:p>
    <w:p w14:paraId="48168062" w14:textId="607BF8FE" w:rsidR="00D86E9A" w:rsidRPr="004B0377" w:rsidRDefault="00D86E9A" w:rsidP="00D86E9A">
      <w:pPr>
        <w:pStyle w:val="BodyText"/>
      </w:pPr>
      <w:r w:rsidRPr="004B0377">
        <w:t xml:space="preserve">As </w:t>
      </w:r>
      <w:r w:rsidR="009C7332">
        <w:t xml:space="preserve">summarised in </w:t>
      </w:r>
      <w:r w:rsidR="009C7332">
        <w:fldChar w:fldCharType="begin"/>
      </w:r>
      <w:r w:rsidR="009C7332">
        <w:instrText xml:space="preserve"> REF _Ref474854232 \r \h </w:instrText>
      </w:r>
      <w:r w:rsidR="009C7332">
        <w:fldChar w:fldCharType="separate"/>
      </w:r>
      <w:r w:rsidR="00D9725E">
        <w:t>Table 4</w:t>
      </w:r>
      <w:r w:rsidR="009C7332">
        <w:fldChar w:fldCharType="end"/>
      </w:r>
      <w:r w:rsidRPr="004B0377">
        <w:t xml:space="preserve">, Exploration and Production (E&amp;P) phase of an </w:t>
      </w:r>
      <w:r w:rsidR="008C5230">
        <w:t>off-shore</w:t>
      </w:r>
      <w:r w:rsidRPr="004B0377">
        <w:t xml:space="preserve"> Oil &amp; Gas field represents the first stage of the Oil &amp; Gas operations value chain, usually known as the “upstream” segment of the life cycle. E&amp;P is devoted to all the activities to search for potential locations that may allocate crude oil and/or natural gas, as well as the exploration, operation, maintenance and decommissioning of these resources. To support all these operations, a variety of specialised </w:t>
      </w:r>
      <w:r w:rsidR="008C5230">
        <w:t>off-shore</w:t>
      </w:r>
      <w:r w:rsidRPr="004B0377">
        <w:t xml:space="preserve"> assets, focusing on certain tasks within the </w:t>
      </w:r>
      <w:r w:rsidR="008C5230">
        <w:t>off-shore</w:t>
      </w:r>
      <w:r w:rsidRPr="004B0377">
        <w:t xml:space="preserve"> industry, are used. This kind of vessels is known as </w:t>
      </w:r>
      <w:r w:rsidR="008C5230">
        <w:t>Off-shore</w:t>
      </w:r>
      <w:r w:rsidRPr="004B0377">
        <w:t xml:space="preserve"> Support Vessel (OSV). </w:t>
      </w:r>
    </w:p>
    <w:p w14:paraId="22480311" w14:textId="482C27D6" w:rsidR="00D86E9A" w:rsidRPr="004B0377" w:rsidRDefault="00D86E9A" w:rsidP="00D86E9A">
      <w:pPr>
        <w:pStyle w:val="BodyText"/>
      </w:pPr>
      <w:r w:rsidRPr="004B0377">
        <w:t xml:space="preserve">Typically, OSVs provide support services to </w:t>
      </w:r>
      <w:r w:rsidR="008C5230">
        <w:t>off-shore</w:t>
      </w:r>
      <w:r w:rsidRPr="004B0377">
        <w:t xml:space="preserve"> drilling rigs, pipe laying and oil producing assets (production platforms and FPSOs) utilised in E&amp;P activities. It is important to note that OSVs’ specifications can differ greatly among this type of vessels and boundaries within the uses of each category are loose, i.e. one type of vessel can be used in several phases of operation and for different purposes or applications. </w:t>
      </w:r>
    </w:p>
    <w:p w14:paraId="3FAA773F" w14:textId="15A904D7" w:rsidR="00D86E9A" w:rsidRPr="004B0377" w:rsidRDefault="00D86E9A" w:rsidP="00D86E9A">
      <w:pPr>
        <w:pStyle w:val="BodyText"/>
      </w:pPr>
      <w:r w:rsidRPr="004B0377">
        <w:t xml:space="preserve">OSVs can be classified into different subcategories </w:t>
      </w:r>
      <w:r w:rsidR="009C7332">
        <w:fldChar w:fldCharType="begin"/>
      </w:r>
      <w:r w:rsidR="009C7332">
        <w:instrText xml:space="preserve"> REF _Ref474923604 \r \h </w:instrText>
      </w:r>
      <w:r w:rsidR="009C7332">
        <w:fldChar w:fldCharType="separate"/>
      </w:r>
      <w:r w:rsidR="00D9725E">
        <w:t>[4]</w:t>
      </w:r>
      <w:r w:rsidR="009C7332">
        <w:fldChar w:fldCharType="end"/>
      </w:r>
      <w:r w:rsidRPr="004B0377">
        <w:t>, the main ones are:</w:t>
      </w:r>
    </w:p>
    <w:p w14:paraId="09AD7E16" w14:textId="04AEE291" w:rsidR="00D86E9A" w:rsidRPr="004B0377" w:rsidRDefault="00D86E9A" w:rsidP="00D86E9A">
      <w:pPr>
        <w:pStyle w:val="BodyText"/>
        <w:numPr>
          <w:ilvl w:val="0"/>
          <w:numId w:val="30"/>
        </w:numPr>
      </w:pPr>
      <w:r w:rsidRPr="004B0377">
        <w:t xml:space="preserve">Anchor Handling Tug Supply (AHTS): AHTS are designed to tow rigs from one location to another and to lift and position the rigs’ anchors. AHTS can also carry moderate amounts of supplies such as drilling fluid or drill pipe, and also support </w:t>
      </w:r>
      <w:r w:rsidR="008C5230">
        <w:t>off-shore</w:t>
      </w:r>
      <w:r w:rsidRPr="004B0377">
        <w:t xml:space="preserve"> construction projects.</w:t>
      </w:r>
    </w:p>
    <w:p w14:paraId="5FCACF6F" w14:textId="7180960E" w:rsidR="00D86E9A" w:rsidRPr="004B0377" w:rsidRDefault="00D86E9A" w:rsidP="00D86E9A">
      <w:pPr>
        <w:pStyle w:val="BodyText"/>
        <w:numPr>
          <w:ilvl w:val="0"/>
          <w:numId w:val="30"/>
        </w:numPr>
      </w:pPr>
      <w:r w:rsidRPr="004B0377">
        <w:t xml:space="preserve">Platform Supply Vessel (PSV): </w:t>
      </w:r>
      <w:r w:rsidR="00A83085">
        <w:t xml:space="preserve">In addition to specialised vessels directly involved in the different phases of the E&amp;P, there are </w:t>
      </w:r>
      <w:r w:rsidR="00A83085" w:rsidRPr="004B0377">
        <w:t xml:space="preserve">a variety of specialised </w:t>
      </w:r>
      <w:r w:rsidR="00A83085">
        <w:t>off-shore</w:t>
      </w:r>
      <w:r w:rsidR="00A83085" w:rsidRPr="004B0377">
        <w:t xml:space="preserve"> assets </w:t>
      </w:r>
      <w:r w:rsidR="00A83085">
        <w:t xml:space="preserve">devoted to </w:t>
      </w:r>
      <w:r w:rsidR="00A83085" w:rsidRPr="004B0377">
        <w:t>carry out simpler tasks such as cargo runs and supply duties</w:t>
      </w:r>
      <w:r w:rsidR="00A83085">
        <w:t>.</w:t>
      </w:r>
    </w:p>
    <w:p w14:paraId="0284AD12" w14:textId="77777777" w:rsidR="00D86E9A" w:rsidRPr="004B0377" w:rsidRDefault="00D86E9A" w:rsidP="00D86E9A">
      <w:pPr>
        <w:pStyle w:val="BodyText"/>
        <w:numPr>
          <w:ilvl w:val="0"/>
          <w:numId w:val="30"/>
        </w:numPr>
      </w:pPr>
      <w:r w:rsidRPr="004B0377">
        <w:t>Construction Support Vessel (CSV): CSVs are used for subsea operations, and are typically equipped with a large crane, heli-deck, and large deck space.</w:t>
      </w:r>
    </w:p>
    <w:p w14:paraId="37F681EA" w14:textId="234EF75D" w:rsidR="00D86E9A" w:rsidRPr="004B0377" w:rsidRDefault="00D86E9A" w:rsidP="00D86E9A">
      <w:pPr>
        <w:pStyle w:val="BodyText"/>
      </w:pPr>
      <w:r w:rsidRPr="004B0377">
        <w:t xml:space="preserve">Once the main OSVs </w:t>
      </w:r>
      <w:r w:rsidR="009C7332">
        <w:t xml:space="preserve">were </w:t>
      </w:r>
      <w:r w:rsidR="00B760CC">
        <w:t>evaluated</w:t>
      </w:r>
      <w:r w:rsidRPr="004B0377">
        <w:t xml:space="preserve">, </w:t>
      </w:r>
      <w:r w:rsidRPr="009C7332">
        <w:t xml:space="preserve">Platform Supply Vessels </w:t>
      </w:r>
      <w:r w:rsidR="009C7332" w:rsidRPr="009C7332">
        <w:t>were</w:t>
      </w:r>
      <w:r w:rsidR="009C7332">
        <w:t xml:space="preserve"> identified as the target </w:t>
      </w:r>
      <w:r w:rsidRPr="004B0377">
        <w:t>market</w:t>
      </w:r>
      <w:r w:rsidR="00311C77">
        <w:t xml:space="preserve"> to promote </w:t>
      </w:r>
      <w:r w:rsidR="00886FD8">
        <w:t>EGNOS</w:t>
      </w:r>
      <w:r w:rsidR="00311C77">
        <w:t xml:space="preserve"> adoption</w:t>
      </w:r>
      <w:r w:rsidRPr="004B0377">
        <w:t>. The following reasons support</w:t>
      </w:r>
      <w:r w:rsidR="009C7332">
        <w:t>ed</w:t>
      </w:r>
      <w:r w:rsidRPr="004B0377">
        <w:t xml:space="preserve"> this selection:</w:t>
      </w:r>
    </w:p>
    <w:p w14:paraId="06E2C8C0" w14:textId="77777777" w:rsidR="00D86E9A" w:rsidRPr="004B0377" w:rsidRDefault="00D86E9A" w:rsidP="00D86E9A">
      <w:pPr>
        <w:pStyle w:val="BodyText"/>
        <w:numPr>
          <w:ilvl w:val="0"/>
          <w:numId w:val="31"/>
        </w:numPr>
      </w:pPr>
      <w:r w:rsidRPr="004B0377">
        <w:t>PSVs are used along the whole life cycle of a platform, since the exploration, assisting the drilling ships, to the production phase and decommissioning phases.</w:t>
      </w:r>
    </w:p>
    <w:p w14:paraId="453C1FF4" w14:textId="7D42989E" w:rsidR="00D86E9A" w:rsidRPr="004B0377" w:rsidRDefault="00D86E9A" w:rsidP="00D86E9A">
      <w:pPr>
        <w:pStyle w:val="BodyText"/>
        <w:numPr>
          <w:ilvl w:val="0"/>
          <w:numId w:val="31"/>
        </w:numPr>
      </w:pPr>
      <w:r w:rsidRPr="004B0377">
        <w:t xml:space="preserve">The number of PSVs is higher than other type of </w:t>
      </w:r>
      <w:r w:rsidR="008C5230">
        <w:t>off-shore</w:t>
      </w:r>
      <w:r w:rsidRPr="004B0377">
        <w:t xml:space="preserve"> vessels with similar requirements in terms of positioning, for instance if compared with drill ships used in the exploration phase. </w:t>
      </w:r>
    </w:p>
    <w:p w14:paraId="2EA2A1F1" w14:textId="41C9C502" w:rsidR="00D86E9A" w:rsidRPr="004B0377" w:rsidRDefault="00D86E9A" w:rsidP="00D86E9A">
      <w:pPr>
        <w:pStyle w:val="BodyText"/>
        <w:numPr>
          <w:ilvl w:val="0"/>
          <w:numId w:val="31"/>
        </w:numPr>
      </w:pPr>
      <w:r w:rsidRPr="004B0377">
        <w:t>Their requirements in accuracy are not so demanding: They do not require centimetre accuracy.</w:t>
      </w:r>
      <w:r w:rsidR="00FE4F0A">
        <w:t xml:space="preserve"> </w:t>
      </w:r>
      <w:r w:rsidR="00A83085">
        <w:t>T</w:t>
      </w:r>
      <w:r w:rsidR="00FE4F0A">
        <w:t xml:space="preserve">aking into account that these vessels are nearly 100 meter-long, they have to manoeuvre at few meters from the platform and it is required stability to load and unload the freight, </w:t>
      </w:r>
      <w:r w:rsidR="00A83085">
        <w:t>with an accuracy requirement around 1 meter.</w:t>
      </w:r>
    </w:p>
    <w:p w14:paraId="60441D4C" w14:textId="0DD55BD7" w:rsidR="00964888" w:rsidRPr="00E34581" w:rsidRDefault="00964888" w:rsidP="00E34581">
      <w:pPr>
        <w:pStyle w:val="Heading1"/>
        <w:numPr>
          <w:ilvl w:val="0"/>
          <w:numId w:val="38"/>
        </w:numPr>
      </w:pPr>
      <w:r w:rsidRPr="00E34581">
        <w:lastRenderedPageBreak/>
        <w:t>Conclusions</w:t>
      </w:r>
    </w:p>
    <w:p w14:paraId="02E70013" w14:textId="27746A2D" w:rsidR="003769ED" w:rsidRDefault="003769ED" w:rsidP="004A6AB8">
      <w:pPr>
        <w:pStyle w:val="BodyText"/>
      </w:pPr>
      <w:r w:rsidRPr="003769ED">
        <w:t xml:space="preserve">Finally, based on all the information summarized above, the ability of </w:t>
      </w:r>
      <w:r w:rsidR="00886FD8">
        <w:t>EGNOS</w:t>
      </w:r>
      <w:r w:rsidRPr="003769ED">
        <w:t xml:space="preserve"> positioning services to support </w:t>
      </w:r>
      <w:r w:rsidR="008C5230">
        <w:t>off-shore</w:t>
      </w:r>
      <w:r w:rsidRPr="003769ED">
        <w:t xml:space="preserve"> Oil &amp; Gas operations and the </w:t>
      </w:r>
      <w:r>
        <w:t>potential benefits were analysed:</w:t>
      </w:r>
    </w:p>
    <w:p w14:paraId="51F281B4" w14:textId="1C55FB55" w:rsidR="004A6AB8" w:rsidRDefault="004A6AB8" w:rsidP="003769ED">
      <w:pPr>
        <w:pStyle w:val="BodyText"/>
        <w:numPr>
          <w:ilvl w:val="0"/>
          <w:numId w:val="35"/>
        </w:numPr>
      </w:pPr>
      <w:r w:rsidRPr="004A6AB8">
        <w:t xml:space="preserve">Oil &amp; Gas </w:t>
      </w:r>
      <w:r w:rsidR="008C5230">
        <w:t>off-shore</w:t>
      </w:r>
      <w:r w:rsidRPr="004A6AB8">
        <w:t xml:space="preserve"> operations are difficult to carry on and require high levels of safety and skills. The required investment is huge and the margin of failure is really small, therefore the consequences of a minor error could be of great magnitude, both economically and environmentally. This has led to a variety of specialised </w:t>
      </w:r>
      <w:r w:rsidR="008C5230">
        <w:t>off-shore</w:t>
      </w:r>
      <w:r w:rsidRPr="004A6AB8">
        <w:t xml:space="preserve"> assets and support vessels, focusing on certain tasks within the </w:t>
      </w:r>
      <w:r w:rsidR="008C5230">
        <w:t>off-shore</w:t>
      </w:r>
      <w:r w:rsidRPr="004A6AB8">
        <w:t xml:space="preserve"> industry.</w:t>
      </w:r>
    </w:p>
    <w:p w14:paraId="16A4E5E9" w14:textId="54C149D7" w:rsidR="004A6AB8" w:rsidRPr="004A6AB8" w:rsidRDefault="004A6AB8" w:rsidP="00E34581">
      <w:pPr>
        <w:pStyle w:val="BodyText"/>
        <w:numPr>
          <w:ilvl w:val="0"/>
          <w:numId w:val="30"/>
        </w:numPr>
      </w:pPr>
      <w:r w:rsidRPr="004A6AB8">
        <w:t>EGNOS Open Service could be used as primary positioning service for a range of downstream and upstream applications requiring up to sub-meter accuracy level within the North Sea area. The EGNOS Open Service provides a free of charge alternative and would probably not require a change in the user equipment since most receivers in the market are EGNOS enabled. Platform Support Vessels are a good example of users that may benefit from EGNOS</w:t>
      </w:r>
      <w:r w:rsidR="003769ED">
        <w:t>.</w:t>
      </w:r>
    </w:p>
    <w:p w14:paraId="3BA60F3B" w14:textId="45C3CC3D" w:rsidR="004A6AB8" w:rsidRDefault="004A6AB8" w:rsidP="00E34581">
      <w:pPr>
        <w:pStyle w:val="BodyText"/>
        <w:numPr>
          <w:ilvl w:val="0"/>
          <w:numId w:val="30"/>
        </w:numPr>
      </w:pPr>
      <w:r w:rsidRPr="004A6AB8">
        <w:t>EDAS could be a free of charge alternative for production fields in extreme latitudes (Bearing Sea) beyond the GEO visibility limit, although some modifications at user equipment could be required to allow the retrieval of EDAS corrections through satellite-based internet</w:t>
      </w:r>
      <w:r w:rsidR="00DB3668">
        <w:t>.</w:t>
      </w:r>
    </w:p>
    <w:p w14:paraId="4A7BF657" w14:textId="026A771D" w:rsidR="004D1D85" w:rsidRDefault="004D1D85" w:rsidP="00DB3668">
      <w:pPr>
        <w:pStyle w:val="BodyText"/>
        <w:ind w:left="360"/>
      </w:pPr>
    </w:p>
    <w:sectPr w:rsidR="004D1D85" w:rsidSect="0082480E">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4DB052A" w14:textId="77777777" w:rsidR="00234D95" w:rsidRDefault="00234D95" w:rsidP="00362CD9">
      <w:r>
        <w:separator/>
      </w:r>
    </w:p>
  </w:endnote>
  <w:endnote w:type="continuationSeparator" w:id="0">
    <w:p w14:paraId="7AB43A94" w14:textId="77777777" w:rsidR="00234D95" w:rsidRDefault="00234D95"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Bold">
    <w:altName w:val="Arial"/>
    <w:panose1 w:val="020B0704020202020204"/>
    <w:charset w:val="00"/>
    <w:family w:val="auto"/>
    <w:notTrueType/>
    <w:pitch w:val="variable"/>
    <w:sig w:usb0="00000003" w:usb1="00000000" w:usb2="00000000" w:usb3="00000000" w:csb0="00000001"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orbel">
    <w:panose1 w:val="020B0503020204020204"/>
    <w:charset w:val="00"/>
    <w:family w:val="swiss"/>
    <w:pitch w:val="variable"/>
    <w:sig w:usb0="A00002EF" w:usb1="4000A44B" w:usb2="00000000" w:usb3="00000000" w:csb0="0000019F" w:csb1="00000000"/>
  </w:font>
  <w:font w:name="FuturaStd-Book">
    <w:panose1 w:val="00000000000000000000"/>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F0EF88" w14:textId="57C51488" w:rsidR="00E43128" w:rsidRPr="00036B9E" w:rsidRDefault="00E43128">
    <w:pPr>
      <w:pStyle w:val="Footer"/>
      <w:rPr>
        <w:rFonts w:ascii="Calibri" w:hAnsi="Calibri"/>
      </w:rPr>
    </w:pPr>
    <w:r>
      <w:rPr>
        <w:rFonts w:ascii="Calibri" w:hAnsi="Calibri"/>
        <w:sz w:val="20"/>
        <w:szCs w:val="20"/>
      </w:rPr>
      <w:t>EGNOS</w:t>
    </w:r>
    <w:r w:rsidRPr="00D9725E">
      <w:rPr>
        <w:rFonts w:ascii="Calibri" w:hAnsi="Calibri"/>
        <w:sz w:val="20"/>
        <w:szCs w:val="20"/>
      </w:rPr>
      <w:t xml:space="preserve"> for Off-Shore Oil &amp; Gas Operations</w:t>
    </w:r>
    <w:r w:rsidRPr="00036B9E">
      <w:rPr>
        <w:rFonts w:ascii="Calibri" w:hAnsi="Calibri"/>
      </w:rPr>
      <w:tab/>
    </w:r>
    <w:r w:rsidRPr="00036B9E">
      <w:rPr>
        <w:rFonts w:ascii="Calibri" w:hAnsi="Calibri"/>
      </w:rPr>
      <w:fldChar w:fldCharType="begin"/>
    </w:r>
    <w:r w:rsidRPr="00036B9E">
      <w:rPr>
        <w:rFonts w:ascii="Calibri" w:hAnsi="Calibri"/>
      </w:rPr>
      <w:instrText xml:space="preserve"> PAGE   \* MERGEFORMAT </w:instrText>
    </w:r>
    <w:r w:rsidRPr="00036B9E">
      <w:rPr>
        <w:rFonts w:ascii="Calibri" w:hAnsi="Calibri"/>
      </w:rPr>
      <w:fldChar w:fldCharType="separate"/>
    </w:r>
    <w:r w:rsidR="00D131C5">
      <w:rPr>
        <w:rFonts w:ascii="Calibri" w:hAnsi="Calibri"/>
        <w:noProof/>
      </w:rPr>
      <w:t>2</w:t>
    </w:r>
    <w:r w:rsidRPr="00036B9E">
      <w:rPr>
        <w:rFonts w:ascii="Calibri" w:hAnsi="Calibri"/>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B93E4AF" w14:textId="77777777" w:rsidR="00234D95" w:rsidRDefault="00234D95" w:rsidP="00362CD9">
      <w:r>
        <w:separator/>
      </w:r>
    </w:p>
  </w:footnote>
  <w:footnote w:type="continuationSeparator" w:id="0">
    <w:p w14:paraId="1FD8F828" w14:textId="77777777" w:rsidR="00234D95" w:rsidRDefault="00234D95" w:rsidP="00362CD9">
      <w:r>
        <w:continuationSeparator/>
      </w:r>
    </w:p>
  </w:footnote>
  <w:footnote w:id="1">
    <w:p w14:paraId="741FE09C" w14:textId="56CC54BF" w:rsidR="00E43128" w:rsidRPr="005E35CA" w:rsidRDefault="00E43128">
      <w:pPr>
        <w:pStyle w:val="FootnoteText"/>
        <w:rPr>
          <w:rFonts w:ascii="Calibri" w:hAnsi="Calibri"/>
          <w:sz w:val="16"/>
          <w:szCs w:val="16"/>
          <w:lang w:val="en-US"/>
        </w:rPr>
      </w:pPr>
      <w:r w:rsidRPr="005E35CA">
        <w:rPr>
          <w:rStyle w:val="FootnoteReference"/>
          <w:rFonts w:ascii="Calibri" w:hAnsi="Calibri"/>
          <w:szCs w:val="16"/>
        </w:rPr>
        <w:footnoteRef/>
      </w:r>
      <w:r w:rsidRPr="005E35CA">
        <w:rPr>
          <w:rFonts w:ascii="Calibri" w:hAnsi="Calibri"/>
          <w:sz w:val="16"/>
          <w:szCs w:val="16"/>
        </w:rPr>
        <w:t xml:space="preserve"> Input document number, to be assigned by the Committee Secretary</w:t>
      </w:r>
    </w:p>
  </w:footnote>
  <w:footnote w:id="2">
    <w:p w14:paraId="13DFA22D" w14:textId="44BCA403" w:rsidR="00E43128" w:rsidRPr="00037DF4" w:rsidRDefault="00E43128" w:rsidP="005E35CA">
      <w:pPr>
        <w:pStyle w:val="FootnoteText"/>
        <w:ind w:left="113" w:hanging="113"/>
      </w:pPr>
      <w:r w:rsidRPr="005E35CA">
        <w:rPr>
          <w:rStyle w:val="FootnoteReference"/>
          <w:rFonts w:ascii="Calibri" w:hAnsi="Calibri"/>
          <w:szCs w:val="16"/>
        </w:rPr>
        <w:footnoteRef/>
      </w:r>
      <w:r w:rsidRPr="005E35CA">
        <w:rPr>
          <w:rFonts w:ascii="Calibri" w:hAnsi="Calibri"/>
          <w:sz w:val="16"/>
          <w:szCs w:val="16"/>
        </w:rPr>
        <w:t xml:space="preserve"> Input papers should be assigned to a work task as listed in the Committee work plan which is available in input papers. Leave open if uncertain but consider how the paper is to be processed if not relevant to a work task</w:t>
      </w:r>
    </w:p>
  </w:footnote>
  <w:footnote w:id="3">
    <w:p w14:paraId="3B3E6D87" w14:textId="1AFC1A8E" w:rsidR="00E43128" w:rsidRPr="00C85CCB" w:rsidRDefault="00E43128" w:rsidP="00BB37A7">
      <w:pPr>
        <w:pStyle w:val="FootnoteText"/>
      </w:pPr>
      <w:r>
        <w:rPr>
          <w:rStyle w:val="FootnoteReference"/>
        </w:rPr>
        <w:footnoteRef/>
      </w:r>
      <w:r>
        <w:t xml:space="preserve"> </w:t>
      </w:r>
      <w:r w:rsidRPr="004B4CD9">
        <w:rPr>
          <w:rFonts w:asciiTheme="minorHAnsi" w:hAnsiTheme="minorHAnsi"/>
          <w:sz w:val="18"/>
        </w:rPr>
        <w:t>Typical performance as per IALA guidelines 1112</w:t>
      </w:r>
      <w:r>
        <w:rPr>
          <w:rFonts w:asciiTheme="minorHAnsi" w:hAnsiTheme="minorHAnsi"/>
          <w:sz w:val="18"/>
        </w:rPr>
        <w:t xml:space="preserve"> </w:t>
      </w:r>
      <w:r>
        <w:rPr>
          <w:rFonts w:asciiTheme="minorHAnsi" w:hAnsiTheme="minorHAnsi"/>
          <w:sz w:val="18"/>
        </w:rPr>
        <w:fldChar w:fldCharType="begin"/>
      </w:r>
      <w:r>
        <w:rPr>
          <w:rFonts w:asciiTheme="minorHAnsi" w:hAnsiTheme="minorHAnsi"/>
          <w:sz w:val="18"/>
        </w:rPr>
        <w:instrText xml:space="preserve"> REF _Ref474830377 \r \h </w:instrText>
      </w:r>
      <w:r>
        <w:rPr>
          <w:rFonts w:asciiTheme="minorHAnsi" w:hAnsiTheme="minorHAnsi"/>
          <w:sz w:val="18"/>
        </w:rPr>
      </w:r>
      <w:r>
        <w:rPr>
          <w:rFonts w:asciiTheme="minorHAnsi" w:hAnsiTheme="minorHAnsi"/>
          <w:sz w:val="18"/>
        </w:rPr>
        <w:fldChar w:fldCharType="separate"/>
      </w:r>
      <w:r>
        <w:rPr>
          <w:rFonts w:asciiTheme="minorHAnsi" w:hAnsiTheme="minorHAnsi"/>
          <w:sz w:val="18"/>
        </w:rPr>
        <w:t>[1]</w:t>
      </w:r>
      <w:r>
        <w:rPr>
          <w:rFonts w:asciiTheme="minorHAnsi" w:hAnsiTheme="minorHAnsi"/>
          <w:sz w:val="18"/>
        </w:rPr>
        <w:fldChar w:fldCharType="end"/>
      </w:r>
      <w:r w:rsidRPr="004B4CD9">
        <w:rPr>
          <w:rFonts w:asciiTheme="minorHAnsi" w:hAnsiTheme="minorHAnsi"/>
          <w:sz w:val="18"/>
        </w:rPr>
        <w:t>. To be noted that in</w:t>
      </w:r>
      <w:r>
        <w:rPr>
          <w:rFonts w:asciiTheme="minorHAnsi" w:hAnsiTheme="minorHAnsi"/>
          <w:sz w:val="18"/>
        </w:rPr>
        <w:t xml:space="preserve"> </w:t>
      </w:r>
      <w:r>
        <w:rPr>
          <w:rFonts w:asciiTheme="minorHAnsi" w:hAnsiTheme="minorHAnsi"/>
          <w:sz w:val="18"/>
        </w:rPr>
        <w:fldChar w:fldCharType="begin"/>
      </w:r>
      <w:r>
        <w:rPr>
          <w:rFonts w:asciiTheme="minorHAnsi" w:hAnsiTheme="minorHAnsi"/>
          <w:sz w:val="18"/>
        </w:rPr>
        <w:instrText xml:space="preserve"> REF _Ref474830356 \r \h </w:instrText>
      </w:r>
      <w:r>
        <w:rPr>
          <w:rFonts w:asciiTheme="minorHAnsi" w:hAnsiTheme="minorHAnsi"/>
          <w:sz w:val="18"/>
        </w:rPr>
      </w:r>
      <w:r>
        <w:rPr>
          <w:rFonts w:asciiTheme="minorHAnsi" w:hAnsiTheme="minorHAnsi"/>
          <w:sz w:val="18"/>
        </w:rPr>
        <w:fldChar w:fldCharType="separate"/>
      </w:r>
      <w:r>
        <w:rPr>
          <w:rFonts w:asciiTheme="minorHAnsi" w:hAnsiTheme="minorHAnsi"/>
          <w:sz w:val="18"/>
        </w:rPr>
        <w:t>[2]</w:t>
      </w:r>
      <w:r>
        <w:rPr>
          <w:rFonts w:asciiTheme="minorHAnsi" w:hAnsiTheme="minorHAnsi"/>
          <w:sz w:val="18"/>
        </w:rPr>
        <w:fldChar w:fldCharType="end"/>
      </w:r>
      <w:r w:rsidRPr="004B4CD9">
        <w:rPr>
          <w:rFonts w:asciiTheme="minorHAnsi" w:hAnsiTheme="minorHAnsi"/>
          <w:sz w:val="18"/>
        </w:rPr>
        <w:t xml:space="preserve">  (IMCA Guidelines for GNSS Positioning within the Oil and Gas Industry], the accuracy is defined as ~3 meters.</w:t>
      </w:r>
    </w:p>
  </w:footnote>
  <w:footnote w:id="4">
    <w:p w14:paraId="2B98A129" w14:textId="766C2E5D" w:rsidR="00E43128" w:rsidRPr="004B4CD9" w:rsidRDefault="00E43128">
      <w:pPr>
        <w:pStyle w:val="FootnoteText"/>
        <w:rPr>
          <w:rFonts w:asciiTheme="minorHAnsi" w:hAnsiTheme="minorHAnsi"/>
          <w:sz w:val="18"/>
        </w:rPr>
      </w:pPr>
      <w:r>
        <w:rPr>
          <w:rStyle w:val="FootnoteReference"/>
        </w:rPr>
        <w:footnoteRef/>
      </w:r>
      <w:r>
        <w:t xml:space="preserve"> </w:t>
      </w:r>
      <w:r w:rsidRPr="004B4CD9">
        <w:rPr>
          <w:rFonts w:asciiTheme="minorHAnsi" w:hAnsiTheme="minorHAnsi"/>
          <w:sz w:val="18"/>
        </w:rPr>
        <w:t xml:space="preserve">Availability of GNSS </w:t>
      </w:r>
      <w:r w:rsidRPr="004B4CD9">
        <w:rPr>
          <w:rFonts w:asciiTheme="minorHAnsi" w:hAnsiTheme="minorHAnsi"/>
          <w:sz w:val="18"/>
          <w:szCs w:val="24"/>
        </w:rPr>
        <w:t>positioning</w:t>
      </w:r>
      <w:r w:rsidRPr="004B4CD9">
        <w:rPr>
          <w:rFonts w:asciiTheme="minorHAnsi" w:hAnsiTheme="minorHAnsi"/>
          <w:szCs w:val="24"/>
        </w:rPr>
        <w:t xml:space="preserve"> </w:t>
      </w:r>
      <w:r w:rsidRPr="004B4CD9">
        <w:rPr>
          <w:rFonts w:asciiTheme="minorHAnsi" w:hAnsiTheme="minorHAnsi"/>
          <w:sz w:val="18"/>
          <w:szCs w:val="24"/>
        </w:rPr>
        <w:t>technologies</w:t>
      </w:r>
      <w:r w:rsidRPr="004B4CD9">
        <w:rPr>
          <w:rFonts w:asciiTheme="minorHAnsi" w:hAnsiTheme="minorHAnsi"/>
          <w:sz w:val="18"/>
        </w:rPr>
        <w:t xml:space="preserve"> dependents on </w:t>
      </w:r>
      <w:r w:rsidRPr="004B4CD9">
        <w:rPr>
          <w:rFonts w:asciiTheme="minorHAnsi" w:hAnsiTheme="minorHAnsi" w:cs="FuturaStd-Book"/>
          <w:sz w:val="18"/>
          <w:szCs w:val="18"/>
        </w:rPr>
        <w:t>installation, coverage and delivery system</w:t>
      </w:r>
    </w:p>
  </w:footnote>
  <w:footnote w:id="5">
    <w:p w14:paraId="79D374F0" w14:textId="77777777" w:rsidR="00E43128" w:rsidRPr="00312BAC" w:rsidRDefault="00E43128" w:rsidP="00521297">
      <w:pPr>
        <w:pStyle w:val="FootnoteText"/>
        <w:jc w:val="both"/>
      </w:pPr>
      <w:r>
        <w:rPr>
          <w:rStyle w:val="FootnoteReference"/>
        </w:rPr>
        <w:footnoteRef/>
      </w:r>
      <w:r>
        <w:t xml:space="preserve"> </w:t>
      </w:r>
      <w:r w:rsidRPr="00521297">
        <w:rPr>
          <w:rFonts w:asciiTheme="minorHAnsi" w:hAnsiTheme="minorHAnsi"/>
          <w:sz w:val="18"/>
        </w:rPr>
        <w:t>Other transmission means could be used in the future if available (e.g. VDES)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2A8989" w14:textId="3F824E7C" w:rsidR="00E43128" w:rsidRDefault="00234D95">
    <w:pPr>
      <w:pStyle w:val="Header"/>
    </w:pPr>
    <w:r>
      <w:rPr>
        <w:noProof/>
      </w:rPr>
      <w:pict w14:anchorId="2DF2325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7" o:spid="_x0000_s2050" type="#_x0000_t136" style="position:absolute;margin-left:0;margin-top:0;width:623.85pt;height:65.65pt;rotation:315;z-index:-251655168;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C8CA51" w14:textId="06DE82EB" w:rsidR="00E43128" w:rsidRDefault="00E43128" w:rsidP="007A395D">
    <w:pPr>
      <w:pStyle w:val="Header"/>
      <w:jc w:val="right"/>
    </w:pPr>
    <w:r>
      <w:rPr>
        <w:noProof/>
        <w:lang w:val="en-IE" w:eastAsia="en-IE"/>
      </w:rPr>
      <w:drawing>
        <wp:anchor distT="0" distB="0" distL="114300" distR="114300" simplePos="0" relativeHeight="251665408" behindDoc="0" locked="0" layoutInCell="1" allowOverlap="1" wp14:anchorId="1057C1DB" wp14:editId="6FB8B806">
          <wp:simplePos x="0" y="0"/>
          <wp:positionH relativeFrom="column">
            <wp:posOffset>5447030</wp:posOffset>
          </wp:positionH>
          <wp:positionV relativeFrom="paragraph">
            <wp:posOffset>-427990</wp:posOffset>
          </wp:positionV>
          <wp:extent cx="574675" cy="56007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r w:rsidR="00234D95">
      <w:rPr>
        <w:noProof/>
      </w:rPr>
      <w:pict w14:anchorId="2DE7C70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8" o:spid="_x0000_s2051" type="#_x0000_t136" style="position:absolute;left:0;text-align:left;margin-left:0;margin-top:0;width:623.85pt;height:65.65pt;rotation:315;z-index:-251653120;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786C0F" w14:textId="7F704D96" w:rsidR="00E43128" w:rsidRDefault="00E43128" w:rsidP="007A395D">
    <w:pPr>
      <w:pStyle w:val="Header"/>
      <w:jc w:val="center"/>
    </w:pPr>
    <w:r>
      <w:rPr>
        <w:noProof/>
        <w:lang w:val="en-IE" w:eastAsia="en-IE"/>
      </w:rPr>
      <w:drawing>
        <wp:anchor distT="0" distB="0" distL="114300" distR="114300" simplePos="0" relativeHeight="251658240" behindDoc="0" locked="0" layoutInCell="1" allowOverlap="1" wp14:anchorId="45EB1AFA" wp14:editId="3AB507A9">
          <wp:simplePos x="0" y="0"/>
          <wp:positionH relativeFrom="column">
            <wp:posOffset>2523172</wp:posOffset>
          </wp:positionH>
          <wp:positionV relativeFrom="paragraph">
            <wp:posOffset>-405130</wp:posOffset>
          </wp:positionV>
          <wp:extent cx="852713" cy="831071"/>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p>
  <w:p w14:paraId="677D74FF" w14:textId="20D0A5AB" w:rsidR="00E43128" w:rsidRDefault="00E43128" w:rsidP="007A395D">
    <w:pPr>
      <w:pStyle w:val="Header"/>
      <w:jc w:val="center"/>
    </w:pPr>
  </w:p>
  <w:p w14:paraId="43F3C4F1" w14:textId="7155479D" w:rsidR="00E43128" w:rsidRDefault="00234D95" w:rsidP="007A395D">
    <w:pPr>
      <w:pStyle w:val="Header"/>
      <w:jc w:val="center"/>
    </w:pPr>
    <w:r>
      <w:rPr>
        <w:noProof/>
      </w:rPr>
      <w:pict w14:anchorId="03ED841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6" o:spid="_x0000_s2049" type="#_x0000_t136" style="position:absolute;left:0;text-align:left;margin-left:0;margin-top:0;width:623.85pt;height:65.65pt;rotation:315;z-index:-251657216;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A21C71"/>
    <w:multiLevelType w:val="hybridMultilevel"/>
    <w:tmpl w:val="842E3A1C"/>
    <w:lvl w:ilvl="0" w:tplc="AE7E8544">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B8D6414"/>
    <w:multiLevelType w:val="multilevel"/>
    <w:tmpl w:val="1D548F2C"/>
    <w:lvl w:ilvl="0">
      <w:start w:val="1"/>
      <w:numFmt w:val="decimal"/>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107D4761"/>
    <w:multiLevelType w:val="hybridMultilevel"/>
    <w:tmpl w:val="3836D6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18B62A79"/>
    <w:multiLevelType w:val="hybridMultilevel"/>
    <w:tmpl w:val="6D4201E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19C37E91"/>
    <w:multiLevelType w:val="multilevel"/>
    <w:tmpl w:val="9E640FD2"/>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5">
    <w:nsid w:val="1E7E01D9"/>
    <w:multiLevelType w:val="multilevel"/>
    <w:tmpl w:val="86F60D0E"/>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7">
    <w:nsid w:val="2F992A12"/>
    <w:multiLevelType w:val="hybridMultilevel"/>
    <w:tmpl w:val="74EE5396"/>
    <w:lvl w:ilvl="0" w:tplc="0C0A0001">
      <w:start w:val="1"/>
      <w:numFmt w:val="bullet"/>
      <w:lvlText w:val=""/>
      <w:lvlJc w:val="left"/>
      <w:pPr>
        <w:ind w:left="720" w:hanging="360"/>
      </w:pPr>
      <w:rPr>
        <w:rFonts w:ascii="Symbol" w:hAnsi="Symbol"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nsid w:val="3E6B4F5D"/>
    <w:multiLevelType w:val="hybridMultilevel"/>
    <w:tmpl w:val="4596215A"/>
    <w:lvl w:ilvl="0" w:tplc="BEA8DC80">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0">
    <w:nsid w:val="41C4508F"/>
    <w:multiLevelType w:val="hybridMultilevel"/>
    <w:tmpl w:val="6A6AF326"/>
    <w:lvl w:ilvl="0" w:tplc="D940E602">
      <w:start w:val="1"/>
      <w:numFmt w:val="lowerLetter"/>
      <w:pStyle w:val="Veetaa"/>
      <w:lvlText w:val="%1)"/>
      <w:lvlJc w:val="left"/>
      <w:pPr>
        <w:ind w:left="2880" w:hanging="360"/>
      </w:pPr>
    </w:lvl>
    <w:lvl w:ilvl="1" w:tplc="91ACEA6C" w:tentative="1">
      <w:start w:val="1"/>
      <w:numFmt w:val="lowerLetter"/>
      <w:lvlText w:val="%2."/>
      <w:lvlJc w:val="left"/>
      <w:pPr>
        <w:ind w:left="3600" w:hanging="360"/>
      </w:pPr>
    </w:lvl>
    <w:lvl w:ilvl="2" w:tplc="F0A2325E" w:tentative="1">
      <w:start w:val="1"/>
      <w:numFmt w:val="lowerRoman"/>
      <w:lvlText w:val="%3."/>
      <w:lvlJc w:val="right"/>
      <w:pPr>
        <w:ind w:left="4320" w:hanging="180"/>
      </w:pPr>
    </w:lvl>
    <w:lvl w:ilvl="3" w:tplc="B7107D2E" w:tentative="1">
      <w:start w:val="1"/>
      <w:numFmt w:val="decimal"/>
      <w:lvlText w:val="%4."/>
      <w:lvlJc w:val="left"/>
      <w:pPr>
        <w:ind w:left="5040" w:hanging="360"/>
      </w:pPr>
    </w:lvl>
    <w:lvl w:ilvl="4" w:tplc="CD16394C" w:tentative="1">
      <w:start w:val="1"/>
      <w:numFmt w:val="lowerLetter"/>
      <w:lvlText w:val="%5."/>
      <w:lvlJc w:val="left"/>
      <w:pPr>
        <w:ind w:left="5760" w:hanging="360"/>
      </w:pPr>
    </w:lvl>
    <w:lvl w:ilvl="5" w:tplc="69D446B6" w:tentative="1">
      <w:start w:val="1"/>
      <w:numFmt w:val="lowerRoman"/>
      <w:lvlText w:val="%6."/>
      <w:lvlJc w:val="right"/>
      <w:pPr>
        <w:ind w:left="6480" w:hanging="180"/>
      </w:pPr>
    </w:lvl>
    <w:lvl w:ilvl="6" w:tplc="28BC0A36" w:tentative="1">
      <w:start w:val="1"/>
      <w:numFmt w:val="decimal"/>
      <w:lvlText w:val="%7."/>
      <w:lvlJc w:val="left"/>
      <w:pPr>
        <w:ind w:left="7200" w:hanging="360"/>
      </w:pPr>
    </w:lvl>
    <w:lvl w:ilvl="7" w:tplc="01928DB6" w:tentative="1">
      <w:start w:val="1"/>
      <w:numFmt w:val="lowerLetter"/>
      <w:lvlText w:val="%8."/>
      <w:lvlJc w:val="left"/>
      <w:pPr>
        <w:ind w:left="7920" w:hanging="360"/>
      </w:pPr>
    </w:lvl>
    <w:lvl w:ilvl="8" w:tplc="E62E1856" w:tentative="1">
      <w:start w:val="1"/>
      <w:numFmt w:val="lowerRoman"/>
      <w:lvlText w:val="%9."/>
      <w:lvlJc w:val="right"/>
      <w:pPr>
        <w:ind w:left="8640" w:hanging="180"/>
      </w:pPr>
    </w:lvl>
  </w:abstractNum>
  <w:abstractNum w:abstractNumId="11">
    <w:nsid w:val="44041789"/>
    <w:multiLevelType w:val="multilevel"/>
    <w:tmpl w:val="B1B61DA8"/>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4A8C31DD"/>
    <w:multiLevelType w:val="hybridMultilevel"/>
    <w:tmpl w:val="96FA7F2A"/>
    <w:lvl w:ilvl="0" w:tplc="156C502E">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5">
    <w:nsid w:val="4BC63137"/>
    <w:multiLevelType w:val="hybridMultilevel"/>
    <w:tmpl w:val="09CA0DE6"/>
    <w:lvl w:ilvl="0" w:tplc="7ED42558">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6">
    <w:nsid w:val="51B55D23"/>
    <w:multiLevelType w:val="multilevel"/>
    <w:tmpl w:val="7722CFAE"/>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7">
    <w:nsid w:val="54C42A18"/>
    <w:multiLevelType w:val="hybridMultilevel"/>
    <w:tmpl w:val="1E68D3A0"/>
    <w:lvl w:ilvl="0" w:tplc="A704B908">
      <w:numFmt w:val="bullet"/>
      <w:lvlText w:val="•"/>
      <w:lvlJc w:val="left"/>
      <w:pPr>
        <w:ind w:left="1080" w:hanging="720"/>
      </w:pPr>
      <w:rPr>
        <w:rFonts w:ascii="Calibri" w:eastAsia="Calibr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nsid w:val="5E860B65"/>
    <w:multiLevelType w:val="hybridMultilevel"/>
    <w:tmpl w:val="91EA2A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nsid w:val="5F737FDD"/>
    <w:multiLevelType w:val="hybridMultilevel"/>
    <w:tmpl w:val="09A68D4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0">
    <w:nsid w:val="60585238"/>
    <w:multiLevelType w:val="multilevel"/>
    <w:tmpl w:val="34CCF486"/>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634C1CBF"/>
    <w:multiLevelType w:val="singleLevel"/>
    <w:tmpl w:val="5BD8E47A"/>
    <w:lvl w:ilvl="0">
      <w:start w:val="1"/>
      <w:numFmt w:val="decimal"/>
      <w:pStyle w:val="Figure"/>
      <w:lvlText w:val="Figure %1"/>
      <w:lvlJc w:val="left"/>
      <w:pPr>
        <w:tabs>
          <w:tab w:val="num" w:pos="1134"/>
        </w:tabs>
        <w:ind w:left="1134" w:hanging="1134"/>
      </w:pPr>
      <w:rPr>
        <w:rFonts w:asciiTheme="minorHAnsi" w:hAnsiTheme="minorHAnsi" w:hint="default"/>
        <w:b w:val="0"/>
        <w:i/>
        <w:sz w:val="22"/>
      </w:rPr>
    </w:lvl>
  </w:abstractNum>
  <w:abstractNum w:abstractNumId="22">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nsid w:val="6D8C53EE"/>
    <w:multiLevelType w:val="hybridMultilevel"/>
    <w:tmpl w:val="53D0E62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4">
    <w:nsid w:val="71DD0A21"/>
    <w:multiLevelType w:val="hybridMultilevel"/>
    <w:tmpl w:val="BBB80316"/>
    <w:lvl w:ilvl="0" w:tplc="08090001">
      <w:start w:val="1"/>
      <w:numFmt w:val="bullet"/>
      <w:lvlText w:val=""/>
      <w:lvlJc w:val="left"/>
      <w:pPr>
        <w:ind w:left="720" w:hanging="360"/>
      </w:pPr>
      <w:rPr>
        <w:rFonts w:ascii="Symbol" w:hAnsi="Symbol" w:hint="default"/>
      </w:rPr>
    </w:lvl>
    <w:lvl w:ilvl="1" w:tplc="8A5A0A74">
      <w:start w:val="5"/>
      <w:numFmt w:val="bullet"/>
      <w:lvlText w:val="-"/>
      <w:lvlJc w:val="left"/>
      <w:pPr>
        <w:ind w:left="1440" w:hanging="360"/>
      </w:pPr>
      <w:rPr>
        <w:rFonts w:ascii="Calibri" w:eastAsia="Times New Roman" w:hAnsi="Calibri"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nsid w:val="74E07429"/>
    <w:multiLevelType w:val="hybridMultilevel"/>
    <w:tmpl w:val="586E0FA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6">
    <w:nsid w:val="7BBC2FFB"/>
    <w:multiLevelType w:val="hybridMultilevel"/>
    <w:tmpl w:val="D38C26F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20"/>
  </w:num>
  <w:num w:numId="2">
    <w:abstractNumId w:val="13"/>
  </w:num>
  <w:num w:numId="3">
    <w:abstractNumId w:val="1"/>
  </w:num>
  <w:num w:numId="4">
    <w:abstractNumId w:val="22"/>
  </w:num>
  <w:num w:numId="5">
    <w:abstractNumId w:val="8"/>
  </w:num>
  <w:num w:numId="6">
    <w:abstractNumId w:val="6"/>
  </w:num>
  <w:num w:numId="7">
    <w:abstractNumId w:val="15"/>
  </w:num>
  <w:num w:numId="8">
    <w:abstractNumId w:val="14"/>
  </w:num>
  <w:num w:numId="9">
    <w:abstractNumId w:val="21"/>
  </w:num>
  <w:num w:numId="10">
    <w:abstractNumId w:val="5"/>
  </w:num>
  <w:num w:numId="11">
    <w:abstractNumId w:val="16"/>
  </w:num>
  <w:num w:numId="12">
    <w:abstractNumId w:val="11"/>
  </w:num>
  <w:num w:numId="13">
    <w:abstractNumId w:val="9"/>
  </w:num>
  <w:num w:numId="14">
    <w:abstractNumId w:val="4"/>
  </w:num>
  <w:num w:numId="15">
    <w:abstractNumId w:val="12"/>
  </w:num>
  <w:num w:numId="1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0"/>
  </w:num>
  <w:num w:numId="19">
    <w:abstractNumId w:val="26"/>
  </w:num>
  <w:num w:numId="20">
    <w:abstractNumId w:val="23"/>
  </w:num>
  <w:num w:numId="21">
    <w:abstractNumId w:val="3"/>
  </w:num>
  <w:num w:numId="22">
    <w:abstractNumId w:val="1"/>
  </w:num>
  <w:num w:numId="23">
    <w:abstractNumId w:val="1"/>
  </w:num>
  <w:num w:numId="24">
    <w:abstractNumId w:val="10"/>
  </w:num>
  <w:num w:numId="25">
    <w:abstractNumId w:val="18"/>
  </w:num>
  <w:num w:numId="26">
    <w:abstractNumId w:val="17"/>
  </w:num>
  <w:num w:numId="27">
    <w:abstractNumId w:val="15"/>
  </w:num>
  <w:num w:numId="28">
    <w:abstractNumId w:val="15"/>
  </w:num>
  <w:num w:numId="29">
    <w:abstractNumId w:val="15"/>
  </w:num>
  <w:num w:numId="30">
    <w:abstractNumId w:val="19"/>
  </w:num>
  <w:num w:numId="31">
    <w:abstractNumId w:val="25"/>
  </w:num>
  <w:num w:numId="32">
    <w:abstractNumId w:val="7"/>
  </w:num>
  <w:num w:numId="33">
    <w:abstractNumId w:val="1"/>
    <w:lvlOverride w:ilvl="0">
      <w:startOverride w:val="10"/>
    </w:lvlOverride>
  </w:num>
  <w:num w:numId="34">
    <w:abstractNumId w:val="4"/>
  </w:num>
  <w:num w:numId="35">
    <w:abstractNumId w:val="2"/>
  </w:num>
  <w:num w:numId="36">
    <w:abstractNumId w:val="24"/>
  </w:num>
  <w:num w:numId="37">
    <w:abstractNumId w:val="4"/>
  </w:num>
  <w:num w:numId="3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4"/>
  </w:num>
  <w:num w:numId="40">
    <w:abstractNumId w:val="4"/>
  </w:num>
  <w:num w:numId="41">
    <w:abstractNumId w:val="4"/>
  </w:num>
  <w:num w:numId="42">
    <w:abstractNumId w:val="4"/>
  </w:num>
  <w:num w:numId="43">
    <w:abstractNumId w:val="4"/>
  </w:num>
  <w:num w:numId="44">
    <w:abstractNumId w:val="4"/>
  </w:num>
  <w:num w:numId="45">
    <w:abstractNumId w:val="4"/>
  </w:num>
  <w:num w:numId="46">
    <w:abstractNumId w:val="4"/>
  </w:num>
  <w:num w:numId="47">
    <w:abstractNumId w:val="4"/>
  </w:num>
  <w:num w:numId="48">
    <w:abstractNumId w:val="4"/>
  </w:num>
  <w:num w:numId="49">
    <w:abstractNumId w:val="4"/>
  </w:num>
  <w:num w:numId="50">
    <w:abstractNumId w:val="4"/>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displayBackgroundShape/>
  <w:defaultTabStop w:val="720"/>
  <w:hyphenationZone w:val="425"/>
  <w:drawingGridHorizontalSpacing w:val="120"/>
  <w:displayHorizontalDrawingGridEvery w:val="2"/>
  <w:displayVerticalDrawingGridEvery w:val="2"/>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5674"/>
    <w:rsid w:val="000005D3"/>
    <w:rsid w:val="000049D8"/>
    <w:rsid w:val="000255CD"/>
    <w:rsid w:val="000333C0"/>
    <w:rsid w:val="00036B9E"/>
    <w:rsid w:val="00037DF4"/>
    <w:rsid w:val="0004700E"/>
    <w:rsid w:val="00070C13"/>
    <w:rsid w:val="000715C9"/>
    <w:rsid w:val="00080CF6"/>
    <w:rsid w:val="00081E17"/>
    <w:rsid w:val="00084F33"/>
    <w:rsid w:val="000A77A7"/>
    <w:rsid w:val="000B1707"/>
    <w:rsid w:val="000C1160"/>
    <w:rsid w:val="000C1B3E"/>
    <w:rsid w:val="000C44DC"/>
    <w:rsid w:val="000D1E3C"/>
    <w:rsid w:val="000E6F0D"/>
    <w:rsid w:val="000F0554"/>
    <w:rsid w:val="00110AE7"/>
    <w:rsid w:val="00140F47"/>
    <w:rsid w:val="00143BDD"/>
    <w:rsid w:val="00166076"/>
    <w:rsid w:val="00172375"/>
    <w:rsid w:val="00177AC2"/>
    <w:rsid w:val="00177F4D"/>
    <w:rsid w:val="00180DDA"/>
    <w:rsid w:val="00180F86"/>
    <w:rsid w:val="00193364"/>
    <w:rsid w:val="00194001"/>
    <w:rsid w:val="001A16CB"/>
    <w:rsid w:val="001A6C4F"/>
    <w:rsid w:val="001B2A2D"/>
    <w:rsid w:val="001B737D"/>
    <w:rsid w:val="001C44A3"/>
    <w:rsid w:val="001D5AD8"/>
    <w:rsid w:val="001E0E15"/>
    <w:rsid w:val="001E77AB"/>
    <w:rsid w:val="001F528A"/>
    <w:rsid w:val="001F704E"/>
    <w:rsid w:val="00201722"/>
    <w:rsid w:val="002125B0"/>
    <w:rsid w:val="00215BBE"/>
    <w:rsid w:val="002164C8"/>
    <w:rsid w:val="00226E7E"/>
    <w:rsid w:val="00234D95"/>
    <w:rsid w:val="00242489"/>
    <w:rsid w:val="00243228"/>
    <w:rsid w:val="00251483"/>
    <w:rsid w:val="00255CAA"/>
    <w:rsid w:val="00256198"/>
    <w:rsid w:val="00264305"/>
    <w:rsid w:val="002717B4"/>
    <w:rsid w:val="002A0346"/>
    <w:rsid w:val="002A4487"/>
    <w:rsid w:val="002B49E9"/>
    <w:rsid w:val="002C632E"/>
    <w:rsid w:val="002C6FAA"/>
    <w:rsid w:val="002D3E8B"/>
    <w:rsid w:val="002D4575"/>
    <w:rsid w:val="002D5C0C"/>
    <w:rsid w:val="002E03D1"/>
    <w:rsid w:val="002E6B74"/>
    <w:rsid w:val="002E6FCA"/>
    <w:rsid w:val="00311C77"/>
    <w:rsid w:val="003443E4"/>
    <w:rsid w:val="00351A81"/>
    <w:rsid w:val="00351E4B"/>
    <w:rsid w:val="003531B6"/>
    <w:rsid w:val="00356CD0"/>
    <w:rsid w:val="00362CD9"/>
    <w:rsid w:val="003722D0"/>
    <w:rsid w:val="003761CA"/>
    <w:rsid w:val="003769ED"/>
    <w:rsid w:val="003805FC"/>
    <w:rsid w:val="00380DAF"/>
    <w:rsid w:val="003818FA"/>
    <w:rsid w:val="003836AE"/>
    <w:rsid w:val="00386B58"/>
    <w:rsid w:val="003959BC"/>
    <w:rsid w:val="003972CE"/>
    <w:rsid w:val="003B28F5"/>
    <w:rsid w:val="003B7B7D"/>
    <w:rsid w:val="003C54CB"/>
    <w:rsid w:val="003C6DF5"/>
    <w:rsid w:val="003C7A2A"/>
    <w:rsid w:val="003D2DC1"/>
    <w:rsid w:val="003D69D0"/>
    <w:rsid w:val="003E69E9"/>
    <w:rsid w:val="003F2918"/>
    <w:rsid w:val="003F38E6"/>
    <w:rsid w:val="003F430E"/>
    <w:rsid w:val="00401F6E"/>
    <w:rsid w:val="0040678A"/>
    <w:rsid w:val="0041088C"/>
    <w:rsid w:val="00420A38"/>
    <w:rsid w:val="00431B19"/>
    <w:rsid w:val="00435AB0"/>
    <w:rsid w:val="004604A6"/>
    <w:rsid w:val="004661AD"/>
    <w:rsid w:val="00496374"/>
    <w:rsid w:val="004A4557"/>
    <w:rsid w:val="004A6AB8"/>
    <w:rsid w:val="004B0377"/>
    <w:rsid w:val="004B3BEE"/>
    <w:rsid w:val="004B4CD9"/>
    <w:rsid w:val="004D1D85"/>
    <w:rsid w:val="004D3C3A"/>
    <w:rsid w:val="004D5960"/>
    <w:rsid w:val="004E1CD1"/>
    <w:rsid w:val="005107EB"/>
    <w:rsid w:val="0052013B"/>
    <w:rsid w:val="00521297"/>
    <w:rsid w:val="00521345"/>
    <w:rsid w:val="00526DF0"/>
    <w:rsid w:val="0054434D"/>
    <w:rsid w:val="00545CC4"/>
    <w:rsid w:val="00551FFF"/>
    <w:rsid w:val="00553F19"/>
    <w:rsid w:val="005607A2"/>
    <w:rsid w:val="0057198B"/>
    <w:rsid w:val="00573CFE"/>
    <w:rsid w:val="0057632B"/>
    <w:rsid w:val="0059416F"/>
    <w:rsid w:val="00594E6B"/>
    <w:rsid w:val="005969F2"/>
    <w:rsid w:val="00597FAE"/>
    <w:rsid w:val="005B32A3"/>
    <w:rsid w:val="005C0D44"/>
    <w:rsid w:val="005C566C"/>
    <w:rsid w:val="005C7E69"/>
    <w:rsid w:val="005D60B7"/>
    <w:rsid w:val="005E262D"/>
    <w:rsid w:val="005E35CA"/>
    <w:rsid w:val="005F23D3"/>
    <w:rsid w:val="005F7E20"/>
    <w:rsid w:val="00602752"/>
    <w:rsid w:val="00605E43"/>
    <w:rsid w:val="00614BEA"/>
    <w:rsid w:val="006153BB"/>
    <w:rsid w:val="00623719"/>
    <w:rsid w:val="006652C3"/>
    <w:rsid w:val="00687D2B"/>
    <w:rsid w:val="00691FD0"/>
    <w:rsid w:val="00692148"/>
    <w:rsid w:val="006944CA"/>
    <w:rsid w:val="006A1A1E"/>
    <w:rsid w:val="006A7E45"/>
    <w:rsid w:val="006C0856"/>
    <w:rsid w:val="006C5948"/>
    <w:rsid w:val="006F2A74"/>
    <w:rsid w:val="006F4F07"/>
    <w:rsid w:val="007118F5"/>
    <w:rsid w:val="00712AA4"/>
    <w:rsid w:val="00712FF8"/>
    <w:rsid w:val="007146C4"/>
    <w:rsid w:val="00721AA1"/>
    <w:rsid w:val="0072215C"/>
    <w:rsid w:val="00724B67"/>
    <w:rsid w:val="007547F8"/>
    <w:rsid w:val="00756E2A"/>
    <w:rsid w:val="00765622"/>
    <w:rsid w:val="007662D5"/>
    <w:rsid w:val="00770B6C"/>
    <w:rsid w:val="00772802"/>
    <w:rsid w:val="00783FEA"/>
    <w:rsid w:val="00790E40"/>
    <w:rsid w:val="007935F9"/>
    <w:rsid w:val="00793C9F"/>
    <w:rsid w:val="007A2C58"/>
    <w:rsid w:val="007A3336"/>
    <w:rsid w:val="007A395D"/>
    <w:rsid w:val="007B1E8F"/>
    <w:rsid w:val="007C346C"/>
    <w:rsid w:val="007C5B88"/>
    <w:rsid w:val="007D63AA"/>
    <w:rsid w:val="0080294B"/>
    <w:rsid w:val="00817013"/>
    <w:rsid w:val="0082480E"/>
    <w:rsid w:val="00837612"/>
    <w:rsid w:val="00850293"/>
    <w:rsid w:val="00851373"/>
    <w:rsid w:val="00851BA6"/>
    <w:rsid w:val="0085654D"/>
    <w:rsid w:val="00861160"/>
    <w:rsid w:val="0086654F"/>
    <w:rsid w:val="00886FD8"/>
    <w:rsid w:val="0089437E"/>
    <w:rsid w:val="008A356F"/>
    <w:rsid w:val="008A4653"/>
    <w:rsid w:val="008A4717"/>
    <w:rsid w:val="008A50CC"/>
    <w:rsid w:val="008B71A4"/>
    <w:rsid w:val="008C5230"/>
    <w:rsid w:val="008D1694"/>
    <w:rsid w:val="008D79CB"/>
    <w:rsid w:val="008D7E4C"/>
    <w:rsid w:val="008E03DC"/>
    <w:rsid w:val="008F07BC"/>
    <w:rsid w:val="0091653F"/>
    <w:rsid w:val="00923CA8"/>
    <w:rsid w:val="0092692B"/>
    <w:rsid w:val="00943E9C"/>
    <w:rsid w:val="00953F4D"/>
    <w:rsid w:val="00960904"/>
    <w:rsid w:val="00960BB8"/>
    <w:rsid w:val="00960E85"/>
    <w:rsid w:val="00964888"/>
    <w:rsid w:val="00964F5C"/>
    <w:rsid w:val="009831C0"/>
    <w:rsid w:val="0099161D"/>
    <w:rsid w:val="009A300F"/>
    <w:rsid w:val="009C4192"/>
    <w:rsid w:val="009C7332"/>
    <w:rsid w:val="009E79C5"/>
    <w:rsid w:val="00A0081F"/>
    <w:rsid w:val="00A01958"/>
    <w:rsid w:val="00A02568"/>
    <w:rsid w:val="00A0389B"/>
    <w:rsid w:val="00A17191"/>
    <w:rsid w:val="00A25B3D"/>
    <w:rsid w:val="00A33AE9"/>
    <w:rsid w:val="00A446C9"/>
    <w:rsid w:val="00A635D6"/>
    <w:rsid w:val="00A643F0"/>
    <w:rsid w:val="00A71E13"/>
    <w:rsid w:val="00A83085"/>
    <w:rsid w:val="00A8553A"/>
    <w:rsid w:val="00A93AED"/>
    <w:rsid w:val="00AD40EC"/>
    <w:rsid w:val="00AE1319"/>
    <w:rsid w:val="00AE34BB"/>
    <w:rsid w:val="00AF1DA7"/>
    <w:rsid w:val="00AF4FAD"/>
    <w:rsid w:val="00B10867"/>
    <w:rsid w:val="00B226F2"/>
    <w:rsid w:val="00B23020"/>
    <w:rsid w:val="00B274DF"/>
    <w:rsid w:val="00B56BDF"/>
    <w:rsid w:val="00B65812"/>
    <w:rsid w:val="00B70455"/>
    <w:rsid w:val="00B760CC"/>
    <w:rsid w:val="00B82BBC"/>
    <w:rsid w:val="00B85CD6"/>
    <w:rsid w:val="00B90A27"/>
    <w:rsid w:val="00B9554D"/>
    <w:rsid w:val="00B95CAB"/>
    <w:rsid w:val="00BB2B9F"/>
    <w:rsid w:val="00BB37A7"/>
    <w:rsid w:val="00BB7D9E"/>
    <w:rsid w:val="00BC2334"/>
    <w:rsid w:val="00BD3CB8"/>
    <w:rsid w:val="00BD4E6F"/>
    <w:rsid w:val="00BD723D"/>
    <w:rsid w:val="00BF32F0"/>
    <w:rsid w:val="00BF4DCE"/>
    <w:rsid w:val="00C05CE5"/>
    <w:rsid w:val="00C15185"/>
    <w:rsid w:val="00C45921"/>
    <w:rsid w:val="00C6171E"/>
    <w:rsid w:val="00C77B2E"/>
    <w:rsid w:val="00CA6F2C"/>
    <w:rsid w:val="00CD2E15"/>
    <w:rsid w:val="00CD5BEB"/>
    <w:rsid w:val="00CE66C1"/>
    <w:rsid w:val="00CF1871"/>
    <w:rsid w:val="00D019CE"/>
    <w:rsid w:val="00D1133E"/>
    <w:rsid w:val="00D131C5"/>
    <w:rsid w:val="00D15552"/>
    <w:rsid w:val="00D17A34"/>
    <w:rsid w:val="00D26628"/>
    <w:rsid w:val="00D332B3"/>
    <w:rsid w:val="00D55207"/>
    <w:rsid w:val="00D81801"/>
    <w:rsid w:val="00D86E9A"/>
    <w:rsid w:val="00D92B45"/>
    <w:rsid w:val="00D95962"/>
    <w:rsid w:val="00D9725E"/>
    <w:rsid w:val="00DB3668"/>
    <w:rsid w:val="00DC389B"/>
    <w:rsid w:val="00DE2FEE"/>
    <w:rsid w:val="00DE3D8A"/>
    <w:rsid w:val="00DF29A1"/>
    <w:rsid w:val="00E00BE9"/>
    <w:rsid w:val="00E020B1"/>
    <w:rsid w:val="00E1240C"/>
    <w:rsid w:val="00E22A11"/>
    <w:rsid w:val="00E31E5C"/>
    <w:rsid w:val="00E34581"/>
    <w:rsid w:val="00E43128"/>
    <w:rsid w:val="00E44DD2"/>
    <w:rsid w:val="00E51414"/>
    <w:rsid w:val="00E558C3"/>
    <w:rsid w:val="00E55927"/>
    <w:rsid w:val="00E61092"/>
    <w:rsid w:val="00E72F8E"/>
    <w:rsid w:val="00E912A6"/>
    <w:rsid w:val="00EA4844"/>
    <w:rsid w:val="00EA4D9C"/>
    <w:rsid w:val="00EA5A97"/>
    <w:rsid w:val="00EA7BF8"/>
    <w:rsid w:val="00EB75EE"/>
    <w:rsid w:val="00EC7686"/>
    <w:rsid w:val="00EC7B12"/>
    <w:rsid w:val="00EC7E28"/>
    <w:rsid w:val="00EC7F1E"/>
    <w:rsid w:val="00EE4C1D"/>
    <w:rsid w:val="00EF3685"/>
    <w:rsid w:val="00F04350"/>
    <w:rsid w:val="00F133DB"/>
    <w:rsid w:val="00F159EB"/>
    <w:rsid w:val="00F25BF4"/>
    <w:rsid w:val="00F267DB"/>
    <w:rsid w:val="00F320A1"/>
    <w:rsid w:val="00F36489"/>
    <w:rsid w:val="00F46F6F"/>
    <w:rsid w:val="00F60608"/>
    <w:rsid w:val="00F62217"/>
    <w:rsid w:val="00F76EC5"/>
    <w:rsid w:val="00FB098F"/>
    <w:rsid w:val="00FB17A9"/>
    <w:rsid w:val="00FB527C"/>
    <w:rsid w:val="00FB6F75"/>
    <w:rsid w:val="00FC0EB3"/>
    <w:rsid w:val="00FD675E"/>
    <w:rsid w:val="00FE4F0A"/>
    <w:rsid w:val="00FE5674"/>
    <w:rsid w:val="00FF2991"/>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2"/>
    <o:shapelayout v:ext="edit">
      <o:idmap v:ext="edit" data="1"/>
    </o:shapelayout>
  </w:shapeDefaults>
  <w:decimalSymbol w:val="."/>
  <w:listSeparator w:val=","/>
  <w14:docId w14:val="0DA6AA77"/>
  <w15:docId w15:val="{79BEE2DF-F6C8-40D8-909B-2FC8F1B8E1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605E43"/>
    <w:pPr>
      <w:keepNext/>
      <w:numPr>
        <w:numId w:val="14"/>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rsid w:val="00605E43"/>
    <w:pPr>
      <w:numPr>
        <w:ilvl w:val="1"/>
        <w:numId w:val="14"/>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F36489"/>
    <w:pPr>
      <w:keepNext/>
      <w:numPr>
        <w:ilvl w:val="2"/>
        <w:numId w:val="14"/>
      </w:numPr>
      <w:spacing w:before="120" w:after="120"/>
      <w:outlineLvl w:val="2"/>
    </w:pPr>
    <w:rPr>
      <w:rFonts w:asciiTheme="minorHAnsi" w:hAnsiTheme="minorHAnsi"/>
      <w:szCs w:val="20"/>
      <w:lang w:eastAsia="de-DE"/>
    </w:rPr>
  </w:style>
  <w:style w:type="paragraph" w:styleId="Heading4">
    <w:name w:val="heading 4"/>
    <w:basedOn w:val="Normal"/>
    <w:next w:val="BodyTextIndent"/>
    <w:link w:val="Heading4Char"/>
    <w:rsid w:val="00D332B3"/>
    <w:pPr>
      <w:keepNext/>
      <w:numPr>
        <w:ilvl w:val="3"/>
        <w:numId w:val="14"/>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14"/>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14"/>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14"/>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14"/>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14"/>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05E43"/>
    <w:rPr>
      <w:rFonts w:cs="Calibri"/>
      <w:b/>
      <w:caps/>
      <w:color w:val="0070C0"/>
      <w:kern w:val="28"/>
      <w:sz w:val="24"/>
      <w:szCs w:val="22"/>
      <w:lang w:eastAsia="de-DE"/>
    </w:rPr>
  </w:style>
  <w:style w:type="character" w:customStyle="1" w:styleId="Heading2Char">
    <w:name w:val="Heading 2 Char"/>
    <w:link w:val="Heading2"/>
    <w:rsid w:val="00605E43"/>
    <w:rPr>
      <w:rFonts w:cs="Calibri"/>
      <w:b/>
      <w:color w:val="0070C0"/>
      <w:sz w:val="24"/>
      <w:szCs w:val="24"/>
    </w:rPr>
  </w:style>
  <w:style w:type="paragraph" w:customStyle="1" w:styleId="Annex">
    <w:name w:val="Annex"/>
    <w:basedOn w:val="Heading1"/>
    <w:next w:val="Normal"/>
    <w:qFormat/>
    <w:rsid w:val="007A395D"/>
    <w:pPr>
      <w:numPr>
        <w:numId w:val="1"/>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2"/>
      </w:numPr>
      <w:spacing w:before="120" w:after="120"/>
      <w:jc w:val="center"/>
    </w:pPr>
    <w:rPr>
      <w:i/>
    </w:rPr>
  </w:style>
  <w:style w:type="paragraph" w:customStyle="1" w:styleId="AnnexHeading1">
    <w:name w:val="Annex Heading 1"/>
    <w:basedOn w:val="Normal"/>
    <w:next w:val="BodyText"/>
    <w:rsid w:val="008D1694"/>
    <w:pPr>
      <w:spacing w:before="120" w:after="120"/>
    </w:pPr>
    <w:rPr>
      <w:rFonts w:cs="Arial"/>
      <w:b/>
      <w:caps/>
      <w:sz w:val="24"/>
    </w:rPr>
  </w:style>
  <w:style w:type="paragraph" w:customStyle="1" w:styleId="AnnexHeading2">
    <w:name w:val="Annex Heading 2"/>
    <w:basedOn w:val="Normal"/>
    <w:next w:val="BodyText"/>
    <w:rsid w:val="008D1694"/>
    <w:pPr>
      <w:numPr>
        <w:ilvl w:val="1"/>
        <w:numId w:val="3"/>
      </w:numPr>
      <w:spacing w:before="120" w:after="120"/>
    </w:pPr>
    <w:rPr>
      <w:rFonts w:cs="Arial"/>
      <w:b/>
    </w:rPr>
  </w:style>
  <w:style w:type="paragraph" w:customStyle="1" w:styleId="AnnexHeading3">
    <w:name w:val="Annex Heading 3"/>
    <w:basedOn w:val="Normal"/>
    <w:next w:val="Normal"/>
    <w:rsid w:val="008D1694"/>
    <w:pPr>
      <w:numPr>
        <w:ilvl w:val="2"/>
        <w:numId w:val="3"/>
      </w:numPr>
      <w:spacing w:before="120" w:after="120"/>
    </w:pPr>
    <w:rPr>
      <w:rFonts w:cs="Arial"/>
    </w:rPr>
  </w:style>
  <w:style w:type="paragraph" w:customStyle="1" w:styleId="AnnexHeading4">
    <w:name w:val="Annex Heading 4"/>
    <w:basedOn w:val="Normal"/>
    <w:next w:val="BodyText"/>
    <w:rsid w:val="008D1694"/>
    <w:pPr>
      <w:numPr>
        <w:ilvl w:val="3"/>
        <w:numId w:val="3"/>
      </w:numPr>
      <w:spacing w:before="120" w:after="120"/>
    </w:pPr>
    <w:rPr>
      <w:rFonts w:cs="Arial"/>
    </w:rPr>
  </w:style>
  <w:style w:type="paragraph" w:customStyle="1" w:styleId="AnnexTable">
    <w:name w:val="Annex Table"/>
    <w:basedOn w:val="Normal"/>
    <w:next w:val="Normal"/>
    <w:rsid w:val="008D1694"/>
    <w:pPr>
      <w:numPr>
        <w:numId w:val="4"/>
      </w:numPr>
      <w:tabs>
        <w:tab w:val="left" w:pos="1418"/>
      </w:tabs>
      <w:spacing w:before="120" w:after="120"/>
      <w:jc w:val="center"/>
    </w:pPr>
    <w:rPr>
      <w:i/>
    </w:rPr>
  </w:style>
  <w:style w:type="paragraph" w:styleId="BodyText">
    <w:name w:val="Body Text"/>
    <w:basedOn w:val="Normal"/>
    <w:link w:val="BodyTextChar"/>
    <w:qFormat/>
    <w:rsid w:val="00F36489"/>
    <w:pPr>
      <w:spacing w:after="120"/>
      <w:jc w:val="both"/>
    </w:pPr>
    <w:rPr>
      <w:rFonts w:ascii="Calibri" w:hAnsi="Calibri"/>
    </w:rPr>
  </w:style>
  <w:style w:type="character" w:customStyle="1" w:styleId="BodyTextChar">
    <w:name w:val="Body Text Char"/>
    <w:link w:val="BodyText"/>
    <w:rsid w:val="00F36489"/>
    <w:rPr>
      <w:rFonts w:cs="Calibri"/>
      <w:sz w:val="22"/>
      <w:szCs w:val="22"/>
    </w:rPr>
  </w:style>
  <w:style w:type="paragraph" w:customStyle="1" w:styleId="Bullet1">
    <w:name w:val="Bullet 1"/>
    <w:basedOn w:val="Normal"/>
    <w:qFormat/>
    <w:rsid w:val="00F36489"/>
    <w:pPr>
      <w:numPr>
        <w:numId w:val="7"/>
      </w:numPr>
      <w:tabs>
        <w:tab w:val="left" w:pos="1134"/>
      </w:tabs>
      <w:spacing w:after="120"/>
      <w:jc w:val="both"/>
      <w:outlineLvl w:val="0"/>
    </w:pPr>
    <w:rPr>
      <w:rFonts w:asciiTheme="minorHAnsi" w:hAnsiTheme="minorHAnsi"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F36489"/>
    <w:pPr>
      <w:numPr>
        <w:numId w:val="8"/>
      </w:numPr>
      <w:tabs>
        <w:tab w:val="left" w:pos="1701"/>
      </w:tabs>
      <w:spacing w:after="120"/>
      <w:jc w:val="both"/>
    </w:pPr>
    <w:rPr>
      <w:rFonts w:asciiTheme="minorHAnsi" w:hAnsiTheme="minorHAnsi"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15"/>
      </w:numPr>
      <w:tabs>
        <w:tab w:val="left" w:pos="2268"/>
      </w:tabs>
      <w:spacing w:after="60"/>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F36489"/>
    <w:pPr>
      <w:numPr>
        <w:numId w:val="9"/>
      </w:numPr>
      <w:spacing w:before="120" w:after="120"/>
      <w:jc w:val="center"/>
    </w:pPr>
    <w:rPr>
      <w:rFonts w:asciiTheme="minorHAnsi" w:hAnsiTheme="minorHAnsi"/>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F36489"/>
    <w:rPr>
      <w:rFonts w:asciiTheme="minorHAnsi" w:hAnsiTheme="minorHAnsi" w:cs="Calibri"/>
      <w:sz w:val="22"/>
      <w:lang w:eastAsia="de-DE"/>
    </w:rPr>
  </w:style>
  <w:style w:type="character" w:customStyle="1" w:styleId="Heading4Char">
    <w:name w:val="Heading 4 Char"/>
    <w:link w:val="Heading4"/>
    <w:rsid w:val="00E00BE9"/>
    <w:rPr>
      <w:rFonts w:ascii="Arial" w:hAnsi="Arial" w:cs="Calibri"/>
      <w:sz w:val="22"/>
      <w:lang w:val="en-US" w:eastAsia="de-DE"/>
    </w:rPr>
  </w:style>
  <w:style w:type="character" w:customStyle="1" w:styleId="Heading5Char">
    <w:name w:val="Heading 5 Char"/>
    <w:link w:val="Heading5"/>
    <w:rsid w:val="00D332B3"/>
    <w:rPr>
      <w:rFonts w:ascii="Arial" w:eastAsia="Times New Roman" w:hAnsi="Arial"/>
      <w:sz w:val="22"/>
      <w:lang w:val="de-DE" w:eastAsia="de-DE"/>
    </w:rPr>
  </w:style>
  <w:style w:type="character" w:customStyle="1" w:styleId="Heading6Char">
    <w:name w:val="Heading 6 Char"/>
    <w:link w:val="Heading6"/>
    <w:rsid w:val="00E00BE9"/>
    <w:rPr>
      <w:rFonts w:ascii="Arial" w:hAnsi="Arial" w:cs="Calibri"/>
      <w:sz w:val="22"/>
      <w:lang w:val="de-DE" w:eastAsia="de-DE"/>
    </w:rPr>
  </w:style>
  <w:style w:type="character" w:customStyle="1" w:styleId="Heading7Char">
    <w:name w:val="Heading 7 Char"/>
    <w:link w:val="Heading7"/>
    <w:rsid w:val="00E00BE9"/>
    <w:rPr>
      <w:rFonts w:ascii="Arial" w:hAnsi="Arial" w:cs="Calibri"/>
      <w:sz w:val="22"/>
      <w:lang w:val="de-DE" w:eastAsia="de-DE"/>
    </w:rPr>
  </w:style>
  <w:style w:type="character" w:customStyle="1" w:styleId="Heading8Char">
    <w:name w:val="Heading 8 Char"/>
    <w:link w:val="Heading8"/>
    <w:rsid w:val="00E00BE9"/>
    <w:rPr>
      <w:rFonts w:ascii="Arial" w:hAnsi="Arial" w:cs="Calibri"/>
      <w:sz w:val="22"/>
      <w:lang w:val="de-DE" w:eastAsia="de-DE"/>
    </w:rPr>
  </w:style>
  <w:style w:type="character" w:customStyle="1" w:styleId="Heading9Char">
    <w:name w:val="Heading 9 Char"/>
    <w:link w:val="Heading9"/>
    <w:rsid w:val="00E00BE9"/>
    <w:rPr>
      <w:rFonts w:ascii="Arial" w:hAnsi="Arial" w:cs="Calibri"/>
      <w:sz w:val="22"/>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F36489"/>
    <w:pPr>
      <w:numPr>
        <w:numId w:val="12"/>
      </w:numPr>
      <w:spacing w:after="120"/>
      <w:jc w:val="both"/>
    </w:pPr>
    <w:rPr>
      <w:rFonts w:asciiTheme="minorHAnsi" w:eastAsia="MS Mincho" w:hAnsiTheme="minorHAnsi"/>
      <w:lang w:eastAsia="ja-JP"/>
    </w:rPr>
  </w:style>
  <w:style w:type="paragraph" w:customStyle="1" w:styleId="List1indent2">
    <w:name w:val="List 1 indent 2"/>
    <w:basedOn w:val="Normal"/>
    <w:rsid w:val="00765622"/>
    <w:pPr>
      <w:widowControl w:val="0"/>
      <w:numPr>
        <w:ilvl w:val="2"/>
        <w:numId w:val="1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F36489"/>
    <w:pPr>
      <w:numPr>
        <w:numId w:val="11"/>
      </w:numPr>
      <w:spacing w:before="120" w:after="120"/>
      <w:jc w:val="center"/>
    </w:pPr>
    <w:rPr>
      <w:rFonts w:asciiTheme="minorHAnsi" w:hAnsiTheme="minorHAnsi"/>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6"/>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rsid w:val="008D1694"/>
    <w:rPr>
      <w:rFonts w:ascii="Arial" w:hAnsi="Arial"/>
      <w:sz w:val="16"/>
    </w:rPr>
  </w:style>
  <w:style w:type="paragraph" w:styleId="FootnoteText">
    <w:name w:val="footnote text"/>
    <w:basedOn w:val="Normal"/>
    <w:link w:val="FootnoteTextChar"/>
    <w:rsid w:val="00243228"/>
    <w:rPr>
      <w:sz w:val="20"/>
      <w:szCs w:val="20"/>
    </w:rPr>
  </w:style>
  <w:style w:type="character" w:customStyle="1" w:styleId="FootnoteTextChar">
    <w:name w:val="Footnote Text Char"/>
    <w:link w:val="FootnoteText"/>
    <w:rsid w:val="00243228"/>
    <w:rPr>
      <w:rFonts w:ascii="Arial" w:hAnsi="Arial" w:cs="Times New Roman"/>
      <w:sz w:val="20"/>
      <w:szCs w:val="20"/>
    </w:rPr>
  </w:style>
  <w:style w:type="paragraph" w:styleId="Subtitle">
    <w:name w:val="Subtitle"/>
    <w:basedOn w:val="Normal"/>
    <w:link w:val="SubtitleChar"/>
    <w:qFormat/>
    <w:rsid w:val="00F36489"/>
    <w:pPr>
      <w:spacing w:after="60"/>
      <w:jc w:val="center"/>
      <w:outlineLvl w:val="1"/>
    </w:pPr>
    <w:rPr>
      <w:rFonts w:asciiTheme="minorHAnsi" w:hAnsiTheme="minorHAnsi" w:cs="Arial"/>
    </w:rPr>
  </w:style>
  <w:style w:type="character" w:customStyle="1" w:styleId="SubtitleChar">
    <w:name w:val="Subtitle Char"/>
    <w:link w:val="Subtitle"/>
    <w:rsid w:val="00F36489"/>
    <w:rPr>
      <w:rFonts w:asciiTheme="minorHAnsi" w:hAnsiTheme="minorHAnsi" w:cs="Arial"/>
      <w:sz w:val="22"/>
      <w:szCs w:val="22"/>
    </w:rPr>
  </w:style>
  <w:style w:type="paragraph" w:styleId="Title">
    <w:name w:val="Title"/>
    <w:basedOn w:val="Normal"/>
    <w:link w:val="TitleChar"/>
    <w:qFormat/>
    <w:rsid w:val="00F36489"/>
    <w:pPr>
      <w:spacing w:before="120" w:after="240"/>
      <w:jc w:val="center"/>
      <w:outlineLvl w:val="0"/>
    </w:pPr>
    <w:rPr>
      <w:rFonts w:asciiTheme="minorHAnsi" w:hAnsiTheme="minorHAnsi" w:cs="Arial"/>
      <w:b/>
      <w:bCs/>
      <w:kern w:val="28"/>
      <w:sz w:val="32"/>
      <w:szCs w:val="32"/>
    </w:rPr>
  </w:style>
  <w:style w:type="character" w:customStyle="1" w:styleId="TitleChar">
    <w:name w:val="Title Char"/>
    <w:link w:val="Title"/>
    <w:rsid w:val="00F36489"/>
    <w:rPr>
      <w:rFonts w:asciiTheme="minorHAnsi" w:hAnsiTheme="minorHAnsi" w:cs="Arial"/>
      <w:b/>
      <w:bCs/>
      <w:kern w:val="28"/>
      <w:sz w:val="32"/>
      <w:szCs w:val="32"/>
    </w:rPr>
  </w:style>
  <w:style w:type="paragraph" w:customStyle="1" w:styleId="List1indent1">
    <w:name w:val="List 1 indent 1"/>
    <w:basedOn w:val="Normal"/>
    <w:qFormat/>
    <w:rsid w:val="00765622"/>
    <w:pPr>
      <w:numPr>
        <w:ilvl w:val="1"/>
        <w:numId w:val="1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F36489"/>
    <w:pPr>
      <w:numPr>
        <w:numId w:val="10"/>
      </w:numPr>
      <w:spacing w:after="120"/>
    </w:pPr>
    <w:rPr>
      <w:rFonts w:asciiTheme="minorHAnsi" w:hAnsiTheme="minorHAnsi"/>
      <w:szCs w:val="20"/>
    </w:rPr>
  </w:style>
  <w:style w:type="paragraph" w:customStyle="1" w:styleId="AppendixHeading1">
    <w:name w:val="Appendix Heading 1"/>
    <w:basedOn w:val="Normal"/>
    <w:next w:val="BodyText"/>
    <w:rsid w:val="008D1694"/>
    <w:pPr>
      <w:numPr>
        <w:numId w:val="5"/>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5"/>
      </w:numPr>
      <w:spacing w:before="120" w:after="120"/>
    </w:pPr>
    <w:rPr>
      <w:rFonts w:cs="Arial"/>
      <w:b/>
    </w:rPr>
  </w:style>
  <w:style w:type="paragraph" w:customStyle="1" w:styleId="AppendixHeading3">
    <w:name w:val="Appendix Heading 3"/>
    <w:basedOn w:val="Normal"/>
    <w:next w:val="Normal"/>
    <w:rsid w:val="008D1694"/>
    <w:pPr>
      <w:numPr>
        <w:ilvl w:val="2"/>
        <w:numId w:val="5"/>
      </w:numPr>
      <w:spacing w:before="120" w:after="120"/>
    </w:pPr>
    <w:rPr>
      <w:rFonts w:cs="Arial"/>
    </w:rPr>
  </w:style>
  <w:style w:type="paragraph" w:customStyle="1" w:styleId="AppendixHeading4">
    <w:name w:val="Appendix Heading 4"/>
    <w:basedOn w:val="Normal"/>
    <w:next w:val="BodyText"/>
    <w:rsid w:val="008D1694"/>
    <w:pPr>
      <w:numPr>
        <w:ilvl w:val="3"/>
        <w:numId w:val="5"/>
      </w:numPr>
      <w:spacing w:before="120" w:after="120"/>
    </w:pPr>
    <w:rPr>
      <w:rFonts w:cs="Arial"/>
    </w:rPr>
  </w:style>
  <w:style w:type="paragraph" w:customStyle="1" w:styleId="equation">
    <w:name w:val="equation"/>
    <w:basedOn w:val="Normal"/>
    <w:next w:val="BodyText"/>
    <w:qFormat/>
    <w:rsid w:val="00F36489"/>
    <w:pPr>
      <w:keepNext/>
      <w:numPr>
        <w:numId w:val="13"/>
      </w:numPr>
      <w:tabs>
        <w:tab w:val="left" w:pos="142"/>
      </w:tabs>
      <w:spacing w:after="120"/>
      <w:jc w:val="right"/>
    </w:pPr>
    <w:rPr>
      <w:rFonts w:asciiTheme="minorHAnsi" w:eastAsia="Times New Roman" w:hAnsiTheme="minorHAnsi" w:cs="Times New Roman"/>
      <w:szCs w:val="24"/>
      <w:lang w:eastAsia="en-US"/>
    </w:rPr>
  </w:style>
  <w:style w:type="table" w:styleId="TableGrid">
    <w:name w:val="Table Grid"/>
    <w:basedOn w:val="TableNormal"/>
    <w:rsid w:val="00783FE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ppendix">
    <w:name w:val="Appendix"/>
    <w:basedOn w:val="Normal"/>
    <w:next w:val="Normal"/>
    <w:rsid w:val="002E6FCA"/>
    <w:pPr>
      <w:numPr>
        <w:numId w:val="18"/>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link w:val="ListParagraphChar"/>
    <w:uiPriority w:val="34"/>
    <w:qFormat/>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paragraph" w:styleId="Quote">
    <w:name w:val="Quote"/>
    <w:basedOn w:val="Normal"/>
    <w:next w:val="Normal"/>
    <w:link w:val="QuoteChar"/>
    <w:qFormat/>
    <w:rsid w:val="00F36489"/>
    <w:pPr>
      <w:spacing w:before="200" w:after="160"/>
      <w:ind w:left="864" w:right="864"/>
      <w:jc w:val="center"/>
    </w:pPr>
    <w:rPr>
      <w:rFonts w:asciiTheme="minorHAnsi" w:hAnsiTheme="minorHAnsi"/>
      <w:i/>
      <w:iCs/>
      <w:color w:val="404040" w:themeColor="text1" w:themeTint="BF"/>
    </w:rPr>
  </w:style>
  <w:style w:type="character" w:customStyle="1" w:styleId="QuoteChar">
    <w:name w:val="Quote Char"/>
    <w:basedOn w:val="DefaultParagraphFont"/>
    <w:link w:val="Quote"/>
    <w:rsid w:val="00F36489"/>
    <w:rPr>
      <w:rFonts w:asciiTheme="minorHAnsi" w:hAnsiTheme="minorHAnsi" w:cs="Calibri"/>
      <w:i/>
      <w:iCs/>
      <w:color w:val="404040" w:themeColor="text1" w:themeTint="BF"/>
      <w:sz w:val="22"/>
      <w:szCs w:val="22"/>
    </w:rPr>
  </w:style>
  <w:style w:type="paragraph" w:styleId="Caption">
    <w:name w:val="caption"/>
    <w:aliases w:val="topic,Caption Char,Légende italique,kuvateksti,c,C,Ca,Legend,Figure No,3559Caption,Figure-caption,CAPTION,Figure Caption,Figure-caption1,CAPTION1,Figure Caption1,Figure-caption2,CAPTION2,Figure Caption2,Figure-caption3,CAPTION3,Figure Caption3"/>
    <w:basedOn w:val="Normal"/>
    <w:next w:val="Normal"/>
    <w:link w:val="CaptionChar1"/>
    <w:qFormat/>
    <w:rsid w:val="00BD723D"/>
    <w:pPr>
      <w:spacing w:before="120" w:after="120"/>
      <w:jc w:val="center"/>
    </w:pPr>
    <w:rPr>
      <w:rFonts w:asciiTheme="minorHAnsi" w:eastAsia="Times New Roman" w:hAnsiTheme="minorHAnsi" w:cs="Times New Roman"/>
      <w:sz w:val="21"/>
      <w:szCs w:val="20"/>
      <w:lang w:eastAsia="en-US"/>
    </w:rPr>
  </w:style>
  <w:style w:type="character" w:customStyle="1" w:styleId="CaptionChar1">
    <w:name w:val="Caption Char1"/>
    <w:aliases w:val="topic Char,Caption Char Char,Légende italique Char,kuvateksti Char,c Char,C Char,Ca Char,Legend Char,Figure No Char,3559Caption Char,Figure-caption Char,CAPTION Char,Figure Caption Char,Figure-caption1 Char,CAPTION1 Char,CAPTION2 Char"/>
    <w:basedOn w:val="DefaultParagraphFont"/>
    <w:link w:val="Caption"/>
    <w:rsid w:val="00BD723D"/>
    <w:rPr>
      <w:rFonts w:asciiTheme="minorHAnsi" w:eastAsia="Times New Roman" w:hAnsiTheme="minorHAnsi"/>
      <w:sz w:val="21"/>
      <w:lang w:eastAsia="en-US"/>
    </w:rPr>
  </w:style>
  <w:style w:type="character" w:customStyle="1" w:styleId="ListParagraphChar">
    <w:name w:val="List Paragraph Char"/>
    <w:basedOn w:val="DefaultParagraphFont"/>
    <w:link w:val="ListParagraph"/>
    <w:uiPriority w:val="34"/>
    <w:locked/>
    <w:rsid w:val="00BD723D"/>
    <w:rPr>
      <w:rFonts w:ascii="Arial" w:hAnsi="Arial" w:cs="Calibri"/>
      <w:sz w:val="22"/>
      <w:szCs w:val="22"/>
    </w:rPr>
  </w:style>
  <w:style w:type="paragraph" w:customStyle="1" w:styleId="Veetaa">
    <w:name w:val="Veñeta a)"/>
    <w:basedOn w:val="Normal"/>
    <w:qFormat/>
    <w:rsid w:val="00BD723D"/>
    <w:pPr>
      <w:numPr>
        <w:numId w:val="24"/>
      </w:numPr>
      <w:spacing w:after="200"/>
      <w:ind w:left="567" w:hanging="567"/>
      <w:contextualSpacing/>
      <w:jc w:val="both"/>
    </w:pPr>
    <w:rPr>
      <w:rFonts w:ascii="Corbel" w:hAnsi="Corbel" w:cs="Arial"/>
      <w:color w:val="000000"/>
      <w:szCs w:val="20"/>
      <w:lang w:val="es-ES_tradnl"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39728221">
      <w:bodyDiv w:val="1"/>
      <w:marLeft w:val="0"/>
      <w:marRight w:val="0"/>
      <w:marTop w:val="0"/>
      <w:marBottom w:val="0"/>
      <w:divBdr>
        <w:top w:val="none" w:sz="0" w:space="0" w:color="auto"/>
        <w:left w:val="none" w:sz="0" w:space="0" w:color="auto"/>
        <w:bottom w:val="none" w:sz="0" w:space="0" w:color="auto"/>
        <w:right w:val="none" w:sz="0" w:space="0" w:color="auto"/>
      </w:divBdr>
    </w:div>
    <w:div w:id="1538473112">
      <w:bodyDiv w:val="1"/>
      <w:marLeft w:val="0"/>
      <w:marRight w:val="0"/>
      <w:marTop w:val="0"/>
      <w:marBottom w:val="0"/>
      <w:divBdr>
        <w:top w:val="none" w:sz="0" w:space="0" w:color="auto"/>
        <w:left w:val="none" w:sz="0" w:space="0" w:color="auto"/>
        <w:bottom w:val="none" w:sz="0" w:space="0" w:color="auto"/>
        <w:right w:val="none" w:sz="0" w:space="0" w:color="auto"/>
      </w:divBdr>
      <w:divsChild>
        <w:div w:id="738794636">
          <w:marLeft w:val="446"/>
          <w:marRight w:val="0"/>
          <w:marTop w:val="0"/>
          <w:marBottom w:val="0"/>
          <w:divBdr>
            <w:top w:val="none" w:sz="0" w:space="0" w:color="auto"/>
            <w:left w:val="none" w:sz="0" w:space="0" w:color="auto"/>
            <w:bottom w:val="none" w:sz="0" w:space="0" w:color="auto"/>
            <w:right w:val="none" w:sz="0" w:space="0" w:color="auto"/>
          </w:divBdr>
        </w:div>
        <w:div w:id="648021309">
          <w:marLeft w:val="446"/>
          <w:marRight w:val="0"/>
          <w:marTop w:val="0"/>
          <w:marBottom w:val="0"/>
          <w:divBdr>
            <w:top w:val="none" w:sz="0" w:space="0" w:color="auto"/>
            <w:left w:val="none" w:sz="0" w:space="0" w:color="auto"/>
            <w:bottom w:val="none" w:sz="0" w:space="0" w:color="auto"/>
            <w:right w:val="none" w:sz="0" w:space="0" w:color="auto"/>
          </w:divBdr>
        </w:div>
        <w:div w:id="569777813">
          <w:marLeft w:val="446"/>
          <w:marRight w:val="0"/>
          <w:marTop w:val="0"/>
          <w:marBottom w:val="0"/>
          <w:divBdr>
            <w:top w:val="none" w:sz="0" w:space="0" w:color="auto"/>
            <w:left w:val="none" w:sz="0" w:space="0" w:color="auto"/>
            <w:bottom w:val="none" w:sz="0" w:space="0" w:color="auto"/>
            <w:right w:val="none" w:sz="0" w:space="0" w:color="auto"/>
          </w:divBdr>
        </w:div>
      </w:divsChild>
    </w:div>
    <w:div w:id="1885171391">
      <w:bodyDiv w:val="1"/>
      <w:marLeft w:val="0"/>
      <w:marRight w:val="0"/>
      <w:marTop w:val="0"/>
      <w:marBottom w:val="0"/>
      <w:divBdr>
        <w:top w:val="none" w:sz="0" w:space="0" w:color="auto"/>
        <w:left w:val="none" w:sz="0" w:space="0" w:color="auto"/>
        <w:bottom w:val="none" w:sz="0" w:space="0" w:color="auto"/>
        <w:right w:val="none" w:sz="0" w:space="0" w:color="auto"/>
      </w:divBdr>
    </w:div>
    <w:div w:id="2094011026">
      <w:bodyDiv w:val="1"/>
      <w:marLeft w:val="0"/>
      <w:marRight w:val="0"/>
      <w:marTop w:val="0"/>
      <w:marBottom w:val="0"/>
      <w:divBdr>
        <w:top w:val="none" w:sz="0" w:space="0" w:color="auto"/>
        <w:left w:val="none" w:sz="0" w:space="0" w:color="auto"/>
        <w:bottom w:val="none" w:sz="0" w:space="0" w:color="auto"/>
        <w:right w:val="none" w:sz="0" w:space="0" w:color="auto"/>
      </w:divBdr>
      <w:divsChild>
        <w:div w:id="1542748368">
          <w:marLeft w:val="446"/>
          <w:marRight w:val="0"/>
          <w:marTop w:val="0"/>
          <w:marBottom w:val="0"/>
          <w:divBdr>
            <w:top w:val="none" w:sz="0" w:space="0" w:color="auto"/>
            <w:left w:val="none" w:sz="0" w:space="0" w:color="auto"/>
            <w:bottom w:val="none" w:sz="0" w:space="0" w:color="auto"/>
            <w:right w:val="none" w:sz="0" w:space="0" w:color="auto"/>
          </w:divBdr>
        </w:div>
        <w:div w:id="1126583488">
          <w:marLeft w:val="446"/>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A66F60-871B-4D44-AC3E-739849A436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11</Pages>
  <Words>3507</Words>
  <Characters>19992</Characters>
  <Application>Microsoft Office Word</Application>
  <DocSecurity>0</DocSecurity>
  <Lines>166</Lines>
  <Paragraphs>46</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23453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Seamus Doyle</cp:lastModifiedBy>
  <cp:revision>2</cp:revision>
  <dcterms:created xsi:type="dcterms:W3CDTF">2017-02-27T20:35:00Z</dcterms:created>
  <dcterms:modified xsi:type="dcterms:W3CDTF">2017-02-27T20:35:00Z</dcterms:modified>
</cp:coreProperties>
</file>